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4014" w14:textId="0D21E5D2" w:rsidR="00BF4A37" w:rsidRDefault="00FA33E8" w:rsidP="00FA33E8">
      <w:pPr>
        <w:jc w:val="center"/>
      </w:pPr>
      <w:r>
        <w:rPr>
          <w:noProof/>
        </w:rPr>
        <w:drawing>
          <wp:inline distT="0" distB="0" distL="0" distR="0" wp14:anchorId="687A6F0C" wp14:editId="64DE4C81">
            <wp:extent cx="1458882" cy="1371600"/>
            <wp:effectExtent l="0" t="0" r="8255" b="0"/>
            <wp:docPr id="21394033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03378" name="Picture 1">
                      <a:extLst>
                        <a:ext uri="{C183D7F6-B498-43B3-948B-1728B52AA6E4}">
                          <adec:decorative xmlns:adec="http://schemas.microsoft.com/office/drawing/2017/decorative" val="1"/>
                        </a:ext>
                      </a:extLst>
                    </pic:cNvPr>
                    <pic:cNvPicPr/>
                  </pic:nvPicPr>
                  <pic:blipFill rotWithShape="1">
                    <a:blip r:embed="rId7" cstate="print">
                      <a:extLst>
                        <a:ext uri="{28A0092B-C50C-407E-A947-70E740481C1C}">
                          <a14:useLocalDpi xmlns:a14="http://schemas.microsoft.com/office/drawing/2010/main" val="0"/>
                        </a:ext>
                      </a:extLst>
                    </a:blip>
                    <a:srcRect l="21235" t="21919" r="20988" b="21349"/>
                    <a:stretch>
                      <a:fillRect/>
                    </a:stretch>
                  </pic:blipFill>
                  <pic:spPr bwMode="auto">
                    <a:xfrm>
                      <a:off x="0" y="0"/>
                      <a:ext cx="1458882" cy="1371600"/>
                    </a:xfrm>
                    <a:prstGeom prst="rect">
                      <a:avLst/>
                    </a:prstGeom>
                    <a:ln>
                      <a:noFill/>
                    </a:ln>
                    <a:extLst>
                      <a:ext uri="{53640926-AAD7-44D8-BBD7-CCE9431645EC}">
                        <a14:shadowObscured xmlns:a14="http://schemas.microsoft.com/office/drawing/2010/main"/>
                      </a:ext>
                    </a:extLst>
                  </pic:spPr>
                </pic:pic>
              </a:graphicData>
            </a:graphic>
          </wp:inline>
        </w:drawing>
      </w:r>
    </w:p>
    <w:p w14:paraId="2AA3094C" w14:textId="77777777" w:rsidR="00BF4A37" w:rsidRDefault="001445E8">
      <w:pPr>
        <w:pStyle w:val="Heading1"/>
      </w:pPr>
      <w:r>
        <w:t>VMP 8</w:t>
      </w:r>
      <w:r>
        <w:rPr>
          <w:color w:val="0070C0"/>
        </w:rPr>
        <w:t>??</w:t>
      </w:r>
      <w:r>
        <w:t xml:space="preserve">, </w:t>
      </w:r>
      <w:r w:rsidRPr="00C16EAF">
        <w:rPr>
          <w:color w:val="4F81BD" w:themeColor="accent1"/>
        </w:rPr>
        <w:t>Course Title, Term, Year</w:t>
      </w:r>
    </w:p>
    <w:p w14:paraId="4BA87C27" w14:textId="77777777" w:rsidR="00BF4A37" w:rsidRDefault="001445E8">
      <w:pPr>
        <w:jc w:val="center"/>
        <w:rPr>
          <w:color w:val="0070C0"/>
        </w:rPr>
      </w:pPr>
      <w:r>
        <w:rPr>
          <w:b/>
        </w:rPr>
        <w:t>Course Credit Hours:</w:t>
      </w:r>
      <w:r>
        <w:t xml:space="preserve"> </w:t>
      </w:r>
      <w:r>
        <w:rPr>
          <w:color w:val="0070C0"/>
        </w:rPr>
        <w:t>[Insert Course Credit Hours Here]</w:t>
      </w:r>
    </w:p>
    <w:p w14:paraId="19AFD251" w14:textId="77777777" w:rsidR="00BF4A37" w:rsidRDefault="00BF4A37">
      <w:pPr>
        <w:spacing w:after="0" w:line="240" w:lineRule="auto"/>
        <w:rPr>
          <w:rFonts w:ascii="Times New Roman" w:eastAsia="Times New Roman" w:hAnsi="Times New Roman" w:cs="Times New Roman"/>
        </w:rPr>
      </w:pPr>
    </w:p>
    <w:p w14:paraId="0924215B" w14:textId="77777777" w:rsidR="00BF4A37" w:rsidRDefault="001445E8">
      <w:pPr>
        <w:pStyle w:val="Heading2"/>
      </w:pPr>
      <w:r>
        <w:t>Faculty Contact Information</w:t>
      </w:r>
    </w:p>
    <w:p w14:paraId="4A204ED0" w14:textId="77777777" w:rsidR="00BF4A37" w:rsidRDefault="001445E8">
      <w:pPr>
        <w:rPr>
          <w:rFonts w:ascii="Times New Roman" w:eastAsia="Times New Roman" w:hAnsi="Times New Roman" w:cs="Times New Roman"/>
        </w:rPr>
      </w:pPr>
      <w:r>
        <w:rPr>
          <w:color w:val="0070C0"/>
        </w:rPr>
        <w:t>[This section should include information for course coordinator &amp; other faculty. Include office hours, office location, phone number, email address, any other contact instructions, such as best mode of contact and hours or availability. Instructor bios or pictures can be added to Canvas course materials.]</w:t>
      </w:r>
      <w:r>
        <w:t xml:space="preserve"> </w:t>
      </w:r>
    </w:p>
    <w:p w14:paraId="547C6897" w14:textId="77777777" w:rsidR="00BF4A37" w:rsidRDefault="001445E8">
      <w:pPr>
        <w:pStyle w:val="Heading2"/>
      </w:pPr>
      <w:r>
        <w:t xml:space="preserve">Course Description/Information </w:t>
      </w:r>
    </w:p>
    <w:p w14:paraId="43C53954" w14:textId="03BA9691" w:rsidR="00BF4A37" w:rsidRDefault="001445E8">
      <w:pPr>
        <w:rPr>
          <w:color w:val="0070C0"/>
        </w:rPr>
      </w:pPr>
      <w:r>
        <w:rPr>
          <w:color w:val="0070C0"/>
        </w:rPr>
        <w:t xml:space="preserve">[This section can be taken from the </w:t>
      </w:r>
      <w:hyperlink r:id="rId8" w:history="1">
        <w:r w:rsidRPr="00945378">
          <w:rPr>
            <w:rStyle w:val="Hyperlink"/>
          </w:rPr>
          <w:t>UTK course catalog</w:t>
        </w:r>
      </w:hyperlink>
      <w:r>
        <w:rPr>
          <w:color w:val="0070C0"/>
        </w:rPr>
        <w:t xml:space="preserve"> and include the overall goal of the course and any course prerequisites/co-requisites.]</w:t>
      </w:r>
    </w:p>
    <w:p w14:paraId="00352881" w14:textId="77777777" w:rsidR="00BF4A37" w:rsidRDefault="001445E8">
      <w:pPr>
        <w:pStyle w:val="Heading3"/>
        <w:ind w:firstLine="360"/>
      </w:pPr>
      <w:r>
        <w:t>Student Learning Outcomes/Objectives:</w:t>
      </w:r>
    </w:p>
    <w:p w14:paraId="125FA04D" w14:textId="77777777" w:rsidR="00BF4A37" w:rsidRDefault="001445E8" w:rsidP="00F650E8">
      <w:pPr>
        <w:ind w:left="720"/>
        <w:rPr>
          <w:color w:val="0070C0"/>
        </w:rPr>
      </w:pPr>
      <w:r>
        <w:rPr>
          <w:color w:val="0070C0"/>
        </w:rPr>
        <w:t>[This section should be written as what students will be expected to be able to do at the end of the course; all SLOs are measurable and align with course assessment / grading methods. Terms such as “know” and “understand” should be further defined.]</w:t>
      </w:r>
    </w:p>
    <w:p w14:paraId="79956FBB" w14:textId="77777777" w:rsidR="00BF4A37" w:rsidRDefault="001445E8">
      <w:pPr>
        <w:pStyle w:val="Heading3"/>
        <w:ind w:firstLine="360"/>
      </w:pPr>
      <w:r>
        <w:t>How to Be Successful in This Course:</w:t>
      </w:r>
    </w:p>
    <w:p w14:paraId="74EC4542" w14:textId="77777777" w:rsidR="00BF4A37" w:rsidRDefault="001445E8" w:rsidP="00F650E8">
      <w:pPr>
        <w:ind w:left="720"/>
        <w:rPr>
          <w:color w:val="0070C0"/>
        </w:rPr>
      </w:pPr>
      <w:r>
        <w:rPr>
          <w:color w:val="0070C0"/>
        </w:rPr>
        <w:t xml:space="preserve">[This section can span topics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 It can also describe the role of the student and the role of the faculty member. This section provides an opportunity to present the notion of shared responsibility for learning. </w:t>
      </w:r>
      <w:r>
        <w:rPr>
          <w:b/>
          <w:i/>
          <w:color w:val="0070C0"/>
        </w:rPr>
        <w:t>Examples</w:t>
      </w:r>
      <w:r>
        <w:rPr>
          <w:color w:val="0070C0"/>
        </w:rPr>
        <w:t xml:space="preserve">: </w:t>
      </w:r>
    </w:p>
    <w:p w14:paraId="2729EFC9" w14:textId="77777777" w:rsidR="00BF4A37" w:rsidRPr="00791FD7" w:rsidRDefault="001445E8" w:rsidP="00FA33E8">
      <w:pPr>
        <w:pStyle w:val="Heading4"/>
        <w:rPr>
          <w:color w:val="0070C0"/>
        </w:rPr>
      </w:pPr>
      <w:proofErr w:type="gramStart"/>
      <w:r w:rsidRPr="00791FD7">
        <w:rPr>
          <w:color w:val="0070C0"/>
        </w:rPr>
        <w:t>Student’s</w:t>
      </w:r>
      <w:proofErr w:type="gramEnd"/>
      <w:r w:rsidRPr="00791FD7">
        <w:rPr>
          <w:color w:val="0070C0"/>
        </w:rPr>
        <w:t xml:space="preserve"> Responsibility </w:t>
      </w:r>
    </w:p>
    <w:p w14:paraId="0EE0C0C6" w14:textId="77777777" w:rsidR="00BF4A37" w:rsidRPr="00791FD7" w:rsidRDefault="001445E8" w:rsidP="00791FD7">
      <w:pPr>
        <w:pStyle w:val="ListParagraph"/>
        <w:rPr>
          <w:color w:val="0070C0"/>
        </w:rPr>
      </w:pPr>
      <w:r w:rsidRPr="00791FD7">
        <w:rPr>
          <w:color w:val="0070C0"/>
        </w:rPr>
        <w:t>Be prepared for all classes</w:t>
      </w:r>
      <w:r w:rsidRPr="00791FD7">
        <w:rPr>
          <w:color w:val="0070C0"/>
        </w:rPr>
        <w:tab/>
      </w:r>
    </w:p>
    <w:p w14:paraId="5F501BBB" w14:textId="77777777" w:rsidR="00BF4A37" w:rsidRPr="00791FD7" w:rsidRDefault="001445E8" w:rsidP="00791FD7">
      <w:pPr>
        <w:pStyle w:val="ListParagraph"/>
        <w:rPr>
          <w:color w:val="0070C0"/>
        </w:rPr>
      </w:pPr>
      <w:r w:rsidRPr="00791FD7">
        <w:rPr>
          <w:color w:val="0070C0"/>
        </w:rPr>
        <w:t>Be respectful of others</w:t>
      </w:r>
    </w:p>
    <w:p w14:paraId="1F44D0CB" w14:textId="77777777" w:rsidR="00BF4A37" w:rsidRPr="00791FD7" w:rsidRDefault="001445E8" w:rsidP="00791FD7">
      <w:pPr>
        <w:pStyle w:val="ListParagraph"/>
        <w:rPr>
          <w:color w:val="0070C0"/>
        </w:rPr>
      </w:pPr>
      <w:r w:rsidRPr="00791FD7">
        <w:rPr>
          <w:color w:val="0070C0"/>
        </w:rPr>
        <w:t>Actively contribute to the learning activities in class</w:t>
      </w:r>
    </w:p>
    <w:p w14:paraId="2E0AB8E4" w14:textId="77777777" w:rsidR="00BF4A37" w:rsidRPr="00791FD7" w:rsidRDefault="001445E8" w:rsidP="00791FD7">
      <w:pPr>
        <w:pStyle w:val="ListParagraph"/>
        <w:rPr>
          <w:color w:val="0070C0"/>
        </w:rPr>
      </w:pPr>
      <w:r w:rsidRPr="00791FD7">
        <w:rPr>
          <w:color w:val="0070C0"/>
        </w:rPr>
        <w:t>Abide by the UT Honor Statement and Code of Conduct]</w:t>
      </w:r>
    </w:p>
    <w:p w14:paraId="6C63BEB2" w14:textId="77777777" w:rsidR="00BF4A37" w:rsidRDefault="001445E8" w:rsidP="00FA33E8">
      <w:pPr>
        <w:pStyle w:val="Heading4"/>
      </w:pPr>
      <w:r>
        <w:t>Tutoring Services</w:t>
      </w:r>
    </w:p>
    <w:p w14:paraId="49979186" w14:textId="77777777" w:rsidR="00BF4A37" w:rsidRDefault="001445E8" w:rsidP="00F650E8">
      <w:pPr>
        <w:pBdr>
          <w:top w:val="nil"/>
          <w:left w:val="nil"/>
          <w:bottom w:val="nil"/>
          <w:right w:val="nil"/>
          <w:between w:val="nil"/>
        </w:pBdr>
        <w:spacing w:after="0"/>
        <w:ind w:left="720"/>
        <w:rPr>
          <w:color w:val="000000"/>
        </w:rPr>
      </w:pPr>
      <w:r>
        <w:rPr>
          <w:color w:val="000000"/>
        </w:rPr>
        <w:t>Student tutors are available through SAVMA. Interested students should contact the SAVMA vice president first, then the Associate Dean of Academic and Student Affairs to arrange tutoring assistance.</w:t>
      </w:r>
    </w:p>
    <w:p w14:paraId="56B69A05" w14:textId="77777777" w:rsidR="00BF4A37" w:rsidRDefault="00BF4A37">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63F9193" w14:textId="77777777" w:rsidR="00BF4A37" w:rsidRDefault="001445E8">
      <w:pPr>
        <w:pStyle w:val="Heading3"/>
        <w:ind w:firstLine="360"/>
      </w:pPr>
      <w:r>
        <w:t>Texts/Resources:</w:t>
      </w:r>
    </w:p>
    <w:p w14:paraId="3FC0937D" w14:textId="77777777" w:rsidR="00BF4A37" w:rsidRDefault="001445E8" w:rsidP="00F650E8">
      <w:pPr>
        <w:ind w:left="720"/>
        <w:rPr>
          <w:rFonts w:ascii="Times New Roman" w:eastAsia="Times New Roman" w:hAnsi="Times New Roman" w:cs="Times New Roman"/>
          <w:color w:val="0070C0"/>
        </w:rPr>
      </w:pPr>
      <w:r>
        <w:rPr>
          <w:color w:val="0070C0"/>
        </w:rPr>
        <w:t>[This section includes any required or recommended texts and/or materials assigned for the course, and/or the course Webpage or other URL.]</w:t>
      </w:r>
    </w:p>
    <w:p w14:paraId="59E6E924" w14:textId="77777777" w:rsidR="00BF4A37" w:rsidRDefault="001445E8">
      <w:pPr>
        <w:pStyle w:val="Heading3"/>
        <w:ind w:firstLine="360"/>
      </w:pPr>
      <w:r>
        <w:lastRenderedPageBreak/>
        <w:t>Required Materials:</w:t>
      </w:r>
    </w:p>
    <w:p w14:paraId="0A8AF5E7" w14:textId="77777777" w:rsidR="00BF4A37" w:rsidRDefault="001445E8" w:rsidP="00F650E8">
      <w:pPr>
        <w:ind w:left="720"/>
        <w:rPr>
          <w:color w:val="0070C0"/>
        </w:rPr>
      </w:pPr>
      <w:r>
        <w:rPr>
          <w:color w:val="0070C0"/>
        </w:rPr>
        <w:t>[This section includes any required gear or equipment, such as a certain type of clothing, software programs, calculator, stethoscope, clicker apps, etc.]</w:t>
      </w:r>
    </w:p>
    <w:p w14:paraId="10086102" w14:textId="77777777" w:rsidR="00BF4A37" w:rsidRDefault="001445E8">
      <w:pPr>
        <w:pStyle w:val="Heading3"/>
        <w:ind w:firstLine="360"/>
      </w:pPr>
      <w:r>
        <w:t xml:space="preserve">Course Resources: </w:t>
      </w:r>
    </w:p>
    <w:p w14:paraId="2C7E4525" w14:textId="77777777" w:rsidR="00BF4A37" w:rsidRDefault="001445E8" w:rsidP="00F650E8">
      <w:pPr>
        <w:ind w:left="720"/>
        <w:rPr>
          <w:color w:val="0070C0"/>
        </w:rPr>
      </w:pPr>
      <w:r>
        <w:rPr>
          <w:color w:val="0070C0"/>
        </w:rPr>
        <w:t xml:space="preserve">[This section includes information about course Canvas materials, lecture captures, and any other type of research / reference materials or technology (i.e., Zoom, </w:t>
      </w:r>
      <w:proofErr w:type="spellStart"/>
      <w:r>
        <w:rPr>
          <w:color w:val="0070C0"/>
        </w:rPr>
        <w:t>ExamSoft</w:t>
      </w:r>
      <w:proofErr w:type="spellEnd"/>
      <w:r>
        <w:rPr>
          <w:color w:val="0070C0"/>
        </w:rPr>
        <w:t xml:space="preserve">, library resources) the student will need to use. All students will have basic training for </w:t>
      </w:r>
      <w:proofErr w:type="spellStart"/>
      <w:r>
        <w:rPr>
          <w:color w:val="0070C0"/>
        </w:rPr>
        <w:t>ExamSoft</w:t>
      </w:r>
      <w:proofErr w:type="spellEnd"/>
      <w:r>
        <w:rPr>
          <w:color w:val="0070C0"/>
        </w:rPr>
        <w:t xml:space="preserve"> arranged by Academic Affairs staff; see below.]</w:t>
      </w:r>
    </w:p>
    <w:p w14:paraId="032F77DC" w14:textId="77777777" w:rsidR="00BF4A37" w:rsidRDefault="001445E8">
      <w:pPr>
        <w:pStyle w:val="Heading3"/>
        <w:ind w:firstLine="360"/>
      </w:pPr>
      <w:r>
        <w:t>Course Requirements, Assessment, and Evaluation:</w:t>
      </w:r>
    </w:p>
    <w:p w14:paraId="4F15D71D" w14:textId="77777777" w:rsidR="00BF4A37" w:rsidRDefault="001445E8" w:rsidP="00FA33E8">
      <w:pPr>
        <w:pStyle w:val="Heading4"/>
      </w:pPr>
      <w:r>
        <w:t>Class Attendance</w:t>
      </w:r>
    </w:p>
    <w:p w14:paraId="13EA431D" w14:textId="1B027872" w:rsidR="00BF4A37" w:rsidRDefault="00A960E0" w:rsidP="00F650E8">
      <w:pPr>
        <w:ind w:left="720"/>
      </w:pPr>
      <w:r>
        <w:t xml:space="preserve">Attendance at lectures is an expectation of UTCVM professional </w:t>
      </w:r>
      <w:r w:rsidR="00306B16">
        <w:t xml:space="preserve">veterinary </w:t>
      </w:r>
      <w:r>
        <w:t>students</w:t>
      </w:r>
      <w:r w:rsidR="00306B16">
        <w:t xml:space="preserve"> and highly recommended for success in the program. </w:t>
      </w:r>
      <w:r w:rsidR="001445E8">
        <w:t xml:space="preserve">Laboratory attendance and participation is mandatory. </w:t>
      </w:r>
      <w:r w:rsidR="00236001">
        <w:t xml:space="preserve">Students are responsible for obtaining all material and assignments from every scheduled curricular activity, whether they are present or not. </w:t>
      </w:r>
      <w:r w:rsidR="001445E8">
        <w:t xml:space="preserve">Necessary absences are requested by following student leave protocols found in the UTCVM Professional Student Handbook. </w:t>
      </w:r>
      <w:r w:rsidR="001445E8">
        <w:rPr>
          <w:color w:val="0070C0"/>
        </w:rPr>
        <w:t>[Specify the planned penalties for unexcused, missed exams or missed, mandatory course content. If you have an additional class/lab attendance and/or tardiness policy, add the planned penalty for these, as well.]</w:t>
      </w:r>
    </w:p>
    <w:p w14:paraId="1D1D7645" w14:textId="77777777" w:rsidR="00BF4A37" w:rsidRDefault="001445E8" w:rsidP="00FA33E8">
      <w:pPr>
        <w:pStyle w:val="Heading4"/>
      </w:pPr>
      <w:r>
        <w:t>Online Learning Environment</w:t>
      </w:r>
    </w:p>
    <w:p w14:paraId="0E4EFA87" w14:textId="1905B741" w:rsidR="00BF4A37" w:rsidRDefault="001445E8" w:rsidP="00F650E8">
      <w:pPr>
        <w:spacing w:after="240"/>
        <w:ind w:left="720"/>
      </w:pPr>
      <w:r>
        <w:rPr>
          <w:color w:val="0070C0"/>
        </w:rPr>
        <w:t xml:space="preserve">[This </w:t>
      </w:r>
      <w:r>
        <w:rPr>
          <w:b/>
          <w:color w:val="0070C0"/>
        </w:rPr>
        <w:t>optional</w:t>
      </w:r>
      <w:r>
        <w:rPr>
          <w:color w:val="0070C0"/>
        </w:rPr>
        <w:t xml:space="preserve"> section offers information about the methods of online instruction (e.g. online synchronous, asynchronous, combination; the tools for learning, etc.). Describe how synchronous and asynchronous sessions will be conducted, how announcements will be made, how to ask questions outside of class, etc. Link to the </w:t>
      </w:r>
      <w:hyperlink r:id="rId9">
        <w:r>
          <w:rPr>
            <w:color w:val="0070C0"/>
            <w:u w:val="single"/>
          </w:rPr>
          <w:t xml:space="preserve">UTCVM </w:t>
        </w:r>
        <w:r>
          <w:rPr>
            <w:color w:val="0070C0"/>
            <w:u w:val="single"/>
          </w:rPr>
          <w:t>Z</w:t>
        </w:r>
        <w:r>
          <w:rPr>
            <w:color w:val="0070C0"/>
            <w:u w:val="single"/>
          </w:rPr>
          <w:t>oom Professionalism Guidelines</w:t>
        </w:r>
      </w:hyperlink>
      <w:r>
        <w:rPr>
          <w:color w:val="0070C0"/>
        </w:rPr>
        <w:t>.</w:t>
      </w:r>
      <w:r w:rsidR="00236001">
        <w:rPr>
          <w:color w:val="0070C0"/>
        </w:rPr>
        <w:t xml:space="preserve"> IMPORTANT: </w:t>
      </w:r>
      <w:r w:rsidR="00161B33">
        <w:rPr>
          <w:color w:val="0070C0"/>
        </w:rPr>
        <w:t>As of</w:t>
      </w:r>
      <w:r w:rsidR="00A52C1E">
        <w:rPr>
          <w:color w:val="0070C0"/>
        </w:rPr>
        <w:t xml:space="preserve"> </w:t>
      </w:r>
      <w:r w:rsidR="00DE0FFE">
        <w:rPr>
          <w:color w:val="0070C0"/>
        </w:rPr>
        <w:t>the fall 2025 semester, c</w:t>
      </w:r>
      <w:r w:rsidR="00A52C1E">
        <w:rPr>
          <w:color w:val="0070C0"/>
        </w:rPr>
        <w:t xml:space="preserve">ourses with online content that </w:t>
      </w:r>
      <w:proofErr w:type="gramStart"/>
      <w:r w:rsidR="00A52C1E">
        <w:rPr>
          <w:color w:val="0070C0"/>
        </w:rPr>
        <w:t>exceeds</w:t>
      </w:r>
      <w:proofErr w:type="gramEnd"/>
      <w:r w:rsidR="00A52C1E">
        <w:rPr>
          <w:color w:val="0070C0"/>
        </w:rPr>
        <w:t xml:space="preserve"> 50% of the entire course must be approved by the college Curriculum Committee.</w:t>
      </w:r>
      <w:r>
        <w:rPr>
          <w:color w:val="0070C0"/>
        </w:rPr>
        <w:t>]</w:t>
      </w:r>
    </w:p>
    <w:p w14:paraId="06EDCF22" w14:textId="77777777" w:rsidR="00BF4A37" w:rsidRDefault="001445E8" w:rsidP="00FA33E8">
      <w:pPr>
        <w:pStyle w:val="Heading4"/>
      </w:pPr>
      <w:r>
        <w:t>Exam Guidelines</w:t>
      </w:r>
    </w:p>
    <w:p w14:paraId="6C3006C4" w14:textId="091A37D0" w:rsidR="00BF4A37" w:rsidRDefault="001445E8" w:rsidP="00F650E8">
      <w:pPr>
        <w:ind w:left="720" w:firstLine="360"/>
      </w:pPr>
      <w:r>
        <w:rPr>
          <w:i/>
          <w:color w:val="3B3B34"/>
        </w:rPr>
        <w:t>Time Available</w:t>
      </w:r>
      <w:r>
        <w:t xml:space="preserve">–Although mid-term and final exams are written as 1-hour exams, students will normally have 2 hours to complete traditional, closed- and open-book examinations (unless otherwise clarified in advance by an instructor). In accordance with Student Disability Services (SDS) policies, if you require additional exam time, you must have current documentation on file with SDS, and you must let the course coordinator know of your needs </w:t>
      </w:r>
      <w:r w:rsidR="00945378">
        <w:t>at least 1 week prior to an exam</w:t>
      </w:r>
      <w:r>
        <w:t xml:space="preserve">. </w:t>
      </w:r>
    </w:p>
    <w:p w14:paraId="09808EFC" w14:textId="77777777" w:rsidR="00BF4A37" w:rsidRDefault="001445E8" w:rsidP="00F650E8">
      <w:pPr>
        <w:ind w:left="720" w:firstLine="360"/>
      </w:pPr>
      <w:r>
        <w:rPr>
          <w:i/>
          <w:color w:val="3B3B34"/>
        </w:rPr>
        <w:t>Scheduling</w:t>
      </w:r>
      <w:r>
        <w:t>—Exams are scheduled to provide optimal opportunity for everyone and should not be changed except in extraordinary circumstances. If a schedule change for an exam is desired, the class representative should contact the course coordinator first and gain class agreement according to the established class policy. All instructors must agree to the change. Following this process, all exam changes must be forwarded to the UTCVM Associate Dean of Academic and Student Affairs for final approval.</w:t>
      </w:r>
    </w:p>
    <w:p w14:paraId="23F9FDBD" w14:textId="0B4C2A45" w:rsidR="00BF4A37" w:rsidRDefault="001445E8" w:rsidP="00F650E8">
      <w:pPr>
        <w:ind w:left="720" w:firstLine="360"/>
      </w:pPr>
      <w:r>
        <w:rPr>
          <w:i/>
          <w:color w:val="3B3B34"/>
        </w:rPr>
        <w:t>Exam Guidelines</w:t>
      </w:r>
      <w:r>
        <w:t xml:space="preserve">—The UT Honor Statement applies to all exams, including open-book exams/quizzes. Students are required to use a privacy screen during in-class, electronic exams. Unless expressly permitted, students should not bring the following into the exam room: notes, smart phones, Apple watches or smart watches, or any other electronic item that can capture or display photos, be used for communication, or connect to the internet. Students who use phones or smart watches as timers should request a timer or purchase an inexpensive standard watch. Calculators are allowed only when indicated and should be of the type specified by the instructor. Hats, hoodies, and other clothing that conceals the face should not be worn during the exam. Ear buds or noise canceling headphones are allowed only with SDS accommodation requests. Foam earplugs used for </w:t>
      </w:r>
      <w:r>
        <w:lastRenderedPageBreak/>
        <w:t xml:space="preserve">noise reduction are allowed at any time. In the event of a room/building evacuation, laptops should remain in the exam room. Refer to the </w:t>
      </w:r>
      <w:hyperlink r:id="rId10">
        <w:r w:rsidR="00F650E8">
          <w:rPr>
            <w:color w:val="0000FF"/>
            <w:u w:val="single"/>
          </w:rPr>
          <w:t>UTCVM Ex</w:t>
        </w:r>
        <w:r w:rsidR="00F650E8">
          <w:rPr>
            <w:color w:val="0000FF"/>
            <w:u w:val="single"/>
          </w:rPr>
          <w:t>a</w:t>
        </w:r>
        <w:r w:rsidR="00F650E8">
          <w:rPr>
            <w:color w:val="0000FF"/>
            <w:u w:val="single"/>
          </w:rPr>
          <w:t>m Guidelines</w:t>
        </w:r>
      </w:hyperlink>
      <w:r>
        <w:t xml:space="preserve"> for full information.</w:t>
      </w:r>
    </w:p>
    <w:p w14:paraId="48880B3C" w14:textId="77777777" w:rsidR="00BF4A37" w:rsidRDefault="001445E8" w:rsidP="00F650E8">
      <w:pPr>
        <w:ind w:left="720" w:firstLine="360"/>
      </w:pPr>
      <w:proofErr w:type="spellStart"/>
      <w:r>
        <w:rPr>
          <w:i/>
        </w:rPr>
        <w:t>ExamSoft</w:t>
      </w:r>
      <w:proofErr w:type="spellEnd"/>
      <w:r>
        <w:t xml:space="preserve"> — </w:t>
      </w:r>
      <w:proofErr w:type="spellStart"/>
      <w:r>
        <w:t>ExamSoft</w:t>
      </w:r>
      <w:proofErr w:type="spellEnd"/>
      <w:r>
        <w:t xml:space="preserve"> is UTCVM’s online examination platform, which uses the software program </w:t>
      </w:r>
      <w:proofErr w:type="spellStart"/>
      <w:r>
        <w:t>Examplify</w:t>
      </w:r>
      <w:proofErr w:type="spellEnd"/>
      <w:r>
        <w:t xml:space="preserve"> to administer major assessments. Exam files will be available to download via </w:t>
      </w:r>
      <w:proofErr w:type="spellStart"/>
      <w:r>
        <w:t>Examplify</w:t>
      </w:r>
      <w:proofErr w:type="spellEnd"/>
      <w:r>
        <w:t xml:space="preserve"> prior to the start of the assessment, with faculty or a proctor providing the starting information at starting time. Faculty will review and evaluate exam results in a timely manner, with grades being posted in Canvas once the review and any adjustments are completed. Release of grades might be postponed until the end of mid-term/finals weeks to avoid the potential to cause additional student anxiety.  </w:t>
      </w:r>
    </w:p>
    <w:p w14:paraId="2623D2E4" w14:textId="77777777" w:rsidR="00BF4A37" w:rsidRDefault="001445E8" w:rsidP="00F650E8">
      <w:pPr>
        <w:ind w:left="720"/>
      </w:pPr>
      <w:r>
        <w:rPr>
          <w:b/>
        </w:rPr>
        <w:t>Make-up Exams:</w:t>
      </w:r>
      <w:r>
        <w:rPr>
          <w:rFonts w:ascii="Montserrat Medium" w:eastAsia="Montserrat Medium" w:hAnsi="Montserrat Medium" w:cs="Montserrat Medium"/>
        </w:rPr>
        <w:t xml:space="preserve"> </w:t>
      </w:r>
      <w:r>
        <w:t>Should a personal emergency or illness arise causing a missed exam, the student must request and arrange for a make-up exam as soon as possible by contacting the course coordinator. Format of a make-up exam will be up to the instructors involved. The Office of Academic and Student Affairs is available to help schedule and proctor make-up exams.</w:t>
      </w:r>
    </w:p>
    <w:p w14:paraId="475E435A" w14:textId="77777777" w:rsidR="00BF4A37" w:rsidRDefault="001445E8">
      <w:pPr>
        <w:pStyle w:val="Heading2"/>
      </w:pPr>
      <w:r>
        <w:t xml:space="preserve">Grievances: </w:t>
      </w:r>
    </w:p>
    <w:p w14:paraId="064ABB53" w14:textId="164F37A2" w:rsidR="00BF4A37" w:rsidRDefault="001445E8">
      <w:r>
        <w:t xml:space="preserve">Students should resolve grade or other issues with the primary instructor involved and should contact the course coordinator for individual problems arising in the course that cannot be resolved directly with the instructor. Following these avenues of appeal, written appeals can be made to the UTCVM Associate Dean of Academic and Student Affairs. If no adequate resolution is obtained by that time, students may appeal in writing to the UT Graduate Council Appeals Committee within </w:t>
      </w:r>
      <w:r w:rsidR="006E392A">
        <w:t>1</w:t>
      </w:r>
      <w:r>
        <w:t xml:space="preserve">0 days of the college decision (see </w:t>
      </w:r>
      <w:hyperlink r:id="rId11">
        <w:r>
          <w:rPr>
            <w:color w:val="0000FF"/>
            <w:u w:val="single"/>
          </w:rPr>
          <w:t>St</w:t>
        </w:r>
        <w:r>
          <w:rPr>
            <w:color w:val="0000FF"/>
            <w:u w:val="single"/>
          </w:rPr>
          <w:t>u</w:t>
        </w:r>
        <w:r>
          <w:rPr>
            <w:color w:val="0000FF"/>
            <w:u w:val="single"/>
          </w:rPr>
          <w:t>dent Appeals Procedures</w:t>
        </w:r>
      </w:hyperlink>
      <w:r>
        <w:rPr>
          <w:color w:val="B22600"/>
        </w:rPr>
        <w:t xml:space="preserve"> </w:t>
      </w:r>
      <w:r>
        <w:t xml:space="preserve">for additional information). Grades of D or F are first reviewed by the college Academic Progress Committee and follow the appeals process outlined in the </w:t>
      </w:r>
      <w:hyperlink r:id="rId12">
        <w:r>
          <w:rPr>
            <w:color w:val="0000FF"/>
            <w:u w:val="single"/>
          </w:rPr>
          <w:t>UTCVM Student Ha</w:t>
        </w:r>
        <w:r>
          <w:rPr>
            <w:color w:val="0000FF"/>
            <w:u w:val="single"/>
          </w:rPr>
          <w:t>n</w:t>
        </w:r>
        <w:r>
          <w:rPr>
            <w:color w:val="0000FF"/>
            <w:u w:val="single"/>
          </w:rPr>
          <w:t>dbook</w:t>
        </w:r>
      </w:hyperlink>
      <w:r>
        <w:t xml:space="preserve">. </w:t>
      </w:r>
    </w:p>
    <w:p w14:paraId="7C011AA4" w14:textId="77777777" w:rsidR="00BF4A37" w:rsidRDefault="001445E8">
      <w:pPr>
        <w:pStyle w:val="Heading2"/>
        <w:rPr>
          <w:rFonts w:ascii="Montserrat Medium" w:eastAsia="Montserrat Medium" w:hAnsi="Montserrat Medium" w:cs="Montserrat Medium"/>
        </w:rPr>
      </w:pPr>
      <w:r>
        <w:t>Final Grades:</w:t>
      </w:r>
      <w:r>
        <w:rPr>
          <w:rFonts w:ascii="Montserrat Medium" w:eastAsia="Montserrat Medium" w:hAnsi="Montserrat Medium" w:cs="Montserrat Medium"/>
        </w:rPr>
        <w:t xml:space="preserve"> </w:t>
      </w:r>
    </w:p>
    <w:p w14:paraId="51680E52" w14:textId="77777777" w:rsidR="00BF4A37" w:rsidRDefault="001445E8">
      <w:r>
        <w:t xml:space="preserve">Final grades will be available online in </w:t>
      </w:r>
      <w:proofErr w:type="spellStart"/>
      <w:r>
        <w:t>MyUTK</w:t>
      </w:r>
      <w:proofErr w:type="spellEnd"/>
      <w:r>
        <w:t xml:space="preserve"> according to UT policy. </w:t>
      </w:r>
    </w:p>
    <w:p w14:paraId="1FFA4CAA" w14:textId="77777777" w:rsidR="00BF4A37" w:rsidRDefault="001445E8" w:rsidP="00A702B9">
      <w:pPr>
        <w:pStyle w:val="Heading3"/>
        <w:ind w:left="720"/>
      </w:pPr>
      <w:r>
        <w:t xml:space="preserve">UTCVM Pre-Clinical Grade Scale  </w:t>
      </w:r>
    </w:p>
    <w:tbl>
      <w:tblPr>
        <w:tblStyle w:val="a"/>
        <w:tblW w:w="9126" w:type="dxa"/>
        <w:tblLayout w:type="fixed"/>
        <w:tblLook w:val="0620" w:firstRow="1" w:lastRow="0" w:firstColumn="0" w:lastColumn="0" w:noHBand="1" w:noVBand="1"/>
      </w:tblPr>
      <w:tblGrid>
        <w:gridCol w:w="1710"/>
        <w:gridCol w:w="810"/>
        <w:gridCol w:w="1584"/>
        <w:gridCol w:w="1152"/>
        <w:gridCol w:w="2970"/>
        <w:gridCol w:w="900"/>
      </w:tblGrid>
      <w:tr w:rsidR="001B0F9E" w14:paraId="733D5D51" w14:textId="77777777" w:rsidTr="001B0F9E">
        <w:trPr>
          <w:trHeight w:val="144"/>
        </w:trPr>
        <w:tc>
          <w:tcPr>
            <w:tcW w:w="1710" w:type="dxa"/>
            <w:tcBorders>
              <w:bottom w:val="single" w:sz="4" w:space="0" w:color="auto"/>
            </w:tcBorders>
          </w:tcPr>
          <w:p w14:paraId="251729C4" w14:textId="6907E051" w:rsidR="001B0F9E" w:rsidRDefault="001B0F9E" w:rsidP="001B0F9E">
            <w:pPr>
              <w:pStyle w:val="NoSpacing"/>
            </w:pPr>
            <w:r>
              <w:t>Graded Courses</w:t>
            </w:r>
          </w:p>
        </w:tc>
        <w:tc>
          <w:tcPr>
            <w:tcW w:w="810" w:type="dxa"/>
            <w:tcBorders>
              <w:bottom w:val="single" w:sz="4" w:space="0" w:color="auto"/>
            </w:tcBorders>
          </w:tcPr>
          <w:p w14:paraId="04A9FB81" w14:textId="77777777" w:rsidR="001B0F9E" w:rsidRDefault="001B0F9E"/>
        </w:tc>
        <w:tc>
          <w:tcPr>
            <w:tcW w:w="1584" w:type="dxa"/>
            <w:tcBorders>
              <w:bottom w:val="single" w:sz="4" w:space="0" w:color="auto"/>
            </w:tcBorders>
          </w:tcPr>
          <w:p w14:paraId="0822394A" w14:textId="77777777" w:rsidR="001B0F9E" w:rsidRDefault="001B0F9E"/>
        </w:tc>
        <w:tc>
          <w:tcPr>
            <w:tcW w:w="1152" w:type="dxa"/>
            <w:tcBorders>
              <w:bottom w:val="single" w:sz="4" w:space="0" w:color="auto"/>
            </w:tcBorders>
          </w:tcPr>
          <w:p w14:paraId="23FC92EB" w14:textId="77777777" w:rsidR="001B0F9E" w:rsidRDefault="001B0F9E"/>
        </w:tc>
        <w:tc>
          <w:tcPr>
            <w:tcW w:w="2970" w:type="dxa"/>
            <w:tcBorders>
              <w:bottom w:val="single" w:sz="4" w:space="0" w:color="auto"/>
            </w:tcBorders>
          </w:tcPr>
          <w:p w14:paraId="2B9CFC57" w14:textId="2BD7F350" w:rsidR="001B0F9E" w:rsidRDefault="001B0F9E">
            <w:r>
              <w:t>Satisfactory/No Credit Courses</w:t>
            </w:r>
          </w:p>
        </w:tc>
        <w:tc>
          <w:tcPr>
            <w:tcW w:w="900" w:type="dxa"/>
            <w:tcBorders>
              <w:bottom w:val="single" w:sz="4" w:space="0" w:color="auto"/>
            </w:tcBorders>
          </w:tcPr>
          <w:p w14:paraId="40896D92" w14:textId="77777777" w:rsidR="001B0F9E" w:rsidRDefault="001B0F9E"/>
        </w:tc>
      </w:tr>
      <w:tr w:rsidR="001B0F9E" w14:paraId="75512033" w14:textId="6D546B1B" w:rsidTr="001B0F9E">
        <w:trPr>
          <w:trHeight w:val="144"/>
        </w:trPr>
        <w:tc>
          <w:tcPr>
            <w:tcW w:w="1710" w:type="dxa"/>
            <w:tcBorders>
              <w:top w:val="single" w:sz="4" w:space="0" w:color="auto"/>
            </w:tcBorders>
          </w:tcPr>
          <w:p w14:paraId="605BC64F" w14:textId="77777777" w:rsidR="001B0F9E" w:rsidRDefault="001B0F9E" w:rsidP="00A702B9">
            <w:pPr>
              <w:ind w:left="680"/>
            </w:pPr>
            <w:r>
              <w:rPr>
                <w:rFonts w:ascii="Gungsuh" w:eastAsia="Gungsuh" w:hAnsi="Gungsuh" w:cs="Gungsuh"/>
              </w:rPr>
              <w:t>≥</w:t>
            </w:r>
            <w:r>
              <w:t xml:space="preserve"> 90%</w:t>
            </w:r>
          </w:p>
        </w:tc>
        <w:tc>
          <w:tcPr>
            <w:tcW w:w="810" w:type="dxa"/>
            <w:tcBorders>
              <w:top w:val="single" w:sz="4" w:space="0" w:color="auto"/>
            </w:tcBorders>
          </w:tcPr>
          <w:p w14:paraId="3BD3B983" w14:textId="77777777" w:rsidR="001B0F9E" w:rsidRDefault="001B0F9E">
            <w:r>
              <w:t>A</w:t>
            </w:r>
          </w:p>
        </w:tc>
        <w:tc>
          <w:tcPr>
            <w:tcW w:w="1584" w:type="dxa"/>
            <w:tcBorders>
              <w:top w:val="single" w:sz="4" w:space="0" w:color="auto"/>
            </w:tcBorders>
          </w:tcPr>
          <w:p w14:paraId="4480B73F" w14:textId="77777777" w:rsidR="001B0F9E" w:rsidRDefault="001B0F9E" w:rsidP="00C75C04">
            <w:pPr>
              <w:ind w:left="522"/>
              <w:jc w:val="right"/>
            </w:pPr>
            <w:r>
              <w:t>70–77%</w:t>
            </w:r>
          </w:p>
        </w:tc>
        <w:tc>
          <w:tcPr>
            <w:tcW w:w="1152" w:type="dxa"/>
            <w:tcBorders>
              <w:top w:val="single" w:sz="4" w:space="0" w:color="auto"/>
            </w:tcBorders>
          </w:tcPr>
          <w:p w14:paraId="1902D1DE" w14:textId="77777777" w:rsidR="001B0F9E" w:rsidRDefault="001B0F9E">
            <w:r>
              <w:t>C</w:t>
            </w:r>
          </w:p>
        </w:tc>
        <w:tc>
          <w:tcPr>
            <w:tcW w:w="2970" w:type="dxa"/>
            <w:tcBorders>
              <w:top w:val="single" w:sz="4" w:space="0" w:color="auto"/>
            </w:tcBorders>
          </w:tcPr>
          <w:p w14:paraId="1C39ED4B" w14:textId="28CF206D" w:rsidR="001B0F9E" w:rsidRDefault="001B0F9E" w:rsidP="00C75C04">
            <w:pPr>
              <w:ind w:left="396"/>
            </w:pPr>
            <w:r>
              <w:t>70–100%</w:t>
            </w:r>
          </w:p>
        </w:tc>
        <w:tc>
          <w:tcPr>
            <w:tcW w:w="900" w:type="dxa"/>
            <w:tcBorders>
              <w:top w:val="single" w:sz="4" w:space="0" w:color="auto"/>
            </w:tcBorders>
          </w:tcPr>
          <w:p w14:paraId="5A9DE5EA" w14:textId="2D1BAE05" w:rsidR="001B0F9E" w:rsidRDefault="001B0F9E">
            <w:r>
              <w:t>S</w:t>
            </w:r>
          </w:p>
        </w:tc>
      </w:tr>
      <w:tr w:rsidR="001B0F9E" w14:paraId="6E87A537" w14:textId="605746E9" w:rsidTr="001B0F9E">
        <w:trPr>
          <w:trHeight w:val="144"/>
        </w:trPr>
        <w:tc>
          <w:tcPr>
            <w:tcW w:w="1710" w:type="dxa"/>
          </w:tcPr>
          <w:p w14:paraId="444D2915" w14:textId="707663D7" w:rsidR="001B0F9E" w:rsidRDefault="001B0F9E" w:rsidP="00A702B9">
            <w:pPr>
              <w:ind w:left="680"/>
            </w:pPr>
          </w:p>
        </w:tc>
        <w:tc>
          <w:tcPr>
            <w:tcW w:w="810" w:type="dxa"/>
          </w:tcPr>
          <w:p w14:paraId="5F2DDB7A" w14:textId="05621C86" w:rsidR="001B0F9E" w:rsidRDefault="001B0F9E" w:rsidP="001B0F9E"/>
        </w:tc>
        <w:tc>
          <w:tcPr>
            <w:tcW w:w="1584" w:type="dxa"/>
          </w:tcPr>
          <w:p w14:paraId="7D49B0C8" w14:textId="04C152F8" w:rsidR="001B0F9E" w:rsidRDefault="001B0F9E" w:rsidP="00C75C04">
            <w:pPr>
              <w:ind w:left="522"/>
              <w:jc w:val="right"/>
            </w:pPr>
          </w:p>
        </w:tc>
        <w:tc>
          <w:tcPr>
            <w:tcW w:w="1152" w:type="dxa"/>
          </w:tcPr>
          <w:p w14:paraId="0F0FE437" w14:textId="26849C84" w:rsidR="001B0F9E" w:rsidRDefault="001B0F9E" w:rsidP="001B0F9E"/>
        </w:tc>
        <w:tc>
          <w:tcPr>
            <w:tcW w:w="2970" w:type="dxa"/>
          </w:tcPr>
          <w:p w14:paraId="6FB2D9AF" w14:textId="1EB3A094" w:rsidR="001B0F9E" w:rsidRDefault="001B0F9E" w:rsidP="00C75C04">
            <w:pPr>
              <w:ind w:left="396"/>
            </w:pPr>
            <w:r>
              <w:t>&lt;70%</w:t>
            </w:r>
          </w:p>
        </w:tc>
        <w:tc>
          <w:tcPr>
            <w:tcW w:w="900" w:type="dxa"/>
          </w:tcPr>
          <w:p w14:paraId="3B560842" w14:textId="3E478290" w:rsidR="001B0F9E" w:rsidRDefault="001B0F9E" w:rsidP="001B0F9E">
            <w:r>
              <w:t>NC</w:t>
            </w:r>
          </w:p>
        </w:tc>
      </w:tr>
      <w:tr w:rsidR="001B0F9E" w14:paraId="4195011D" w14:textId="1916E1C7" w:rsidTr="001B0F9E">
        <w:trPr>
          <w:trHeight w:val="144"/>
        </w:trPr>
        <w:tc>
          <w:tcPr>
            <w:tcW w:w="1710" w:type="dxa"/>
          </w:tcPr>
          <w:p w14:paraId="141FDB41" w14:textId="3A3232C1" w:rsidR="001B0F9E" w:rsidRDefault="001B0F9E" w:rsidP="00A702B9">
            <w:pPr>
              <w:ind w:left="680"/>
            </w:pPr>
            <w:r>
              <w:t>88–89%</w:t>
            </w:r>
          </w:p>
        </w:tc>
        <w:tc>
          <w:tcPr>
            <w:tcW w:w="810" w:type="dxa"/>
          </w:tcPr>
          <w:p w14:paraId="252AFA8C" w14:textId="1FECF402" w:rsidR="001B0F9E" w:rsidRDefault="001B0F9E" w:rsidP="001B0F9E">
            <w:r>
              <w:t>B+</w:t>
            </w:r>
          </w:p>
        </w:tc>
        <w:tc>
          <w:tcPr>
            <w:tcW w:w="1584" w:type="dxa"/>
          </w:tcPr>
          <w:p w14:paraId="7CDA8D98" w14:textId="19CEAEC1" w:rsidR="001B0F9E" w:rsidRDefault="001B0F9E" w:rsidP="00C75C04">
            <w:pPr>
              <w:ind w:left="522"/>
              <w:jc w:val="right"/>
            </w:pPr>
            <w:r>
              <w:t>60–69%</w:t>
            </w:r>
          </w:p>
        </w:tc>
        <w:tc>
          <w:tcPr>
            <w:tcW w:w="1152" w:type="dxa"/>
          </w:tcPr>
          <w:p w14:paraId="6776FE05" w14:textId="41794B8F" w:rsidR="001B0F9E" w:rsidRDefault="001B0F9E" w:rsidP="001B0F9E">
            <w:r>
              <w:t>D</w:t>
            </w:r>
          </w:p>
        </w:tc>
        <w:tc>
          <w:tcPr>
            <w:tcW w:w="2970" w:type="dxa"/>
          </w:tcPr>
          <w:p w14:paraId="5AFC051E" w14:textId="5868AF7E" w:rsidR="001B0F9E" w:rsidRDefault="001B0F9E" w:rsidP="001B0F9E"/>
        </w:tc>
        <w:tc>
          <w:tcPr>
            <w:tcW w:w="900" w:type="dxa"/>
          </w:tcPr>
          <w:p w14:paraId="115D410B" w14:textId="4321652A" w:rsidR="001B0F9E" w:rsidRDefault="001B0F9E" w:rsidP="001B0F9E"/>
        </w:tc>
      </w:tr>
      <w:tr w:rsidR="001B0F9E" w14:paraId="610B64FA" w14:textId="3C83AF04" w:rsidTr="00A702B9">
        <w:trPr>
          <w:trHeight w:val="144"/>
        </w:trPr>
        <w:tc>
          <w:tcPr>
            <w:tcW w:w="1710" w:type="dxa"/>
          </w:tcPr>
          <w:p w14:paraId="64DA15A1" w14:textId="77777777" w:rsidR="001B0F9E" w:rsidRDefault="001B0F9E" w:rsidP="00A702B9">
            <w:pPr>
              <w:ind w:left="680"/>
            </w:pPr>
            <w:r>
              <w:t>80–87%</w:t>
            </w:r>
          </w:p>
        </w:tc>
        <w:tc>
          <w:tcPr>
            <w:tcW w:w="810" w:type="dxa"/>
          </w:tcPr>
          <w:p w14:paraId="1D7CBC00" w14:textId="77777777" w:rsidR="001B0F9E" w:rsidRDefault="001B0F9E" w:rsidP="001B0F9E">
            <w:r>
              <w:t>B</w:t>
            </w:r>
          </w:p>
        </w:tc>
        <w:tc>
          <w:tcPr>
            <w:tcW w:w="1584" w:type="dxa"/>
          </w:tcPr>
          <w:p w14:paraId="5544FECD" w14:textId="77777777" w:rsidR="001B0F9E" w:rsidRDefault="001B0F9E" w:rsidP="00C75C04">
            <w:pPr>
              <w:ind w:left="522"/>
              <w:jc w:val="right"/>
            </w:pPr>
            <w:r>
              <w:t>&lt; 60%</w:t>
            </w:r>
          </w:p>
        </w:tc>
        <w:tc>
          <w:tcPr>
            <w:tcW w:w="1152" w:type="dxa"/>
          </w:tcPr>
          <w:p w14:paraId="52EFDE28" w14:textId="77777777" w:rsidR="001B0F9E" w:rsidRDefault="001B0F9E" w:rsidP="001B0F9E">
            <w:r>
              <w:t>F</w:t>
            </w:r>
          </w:p>
        </w:tc>
        <w:tc>
          <w:tcPr>
            <w:tcW w:w="2970" w:type="dxa"/>
          </w:tcPr>
          <w:p w14:paraId="572A7CA5" w14:textId="4B07AD43" w:rsidR="001B0F9E" w:rsidRDefault="001B0F9E" w:rsidP="001B0F9E"/>
        </w:tc>
        <w:tc>
          <w:tcPr>
            <w:tcW w:w="900" w:type="dxa"/>
          </w:tcPr>
          <w:p w14:paraId="13FCB729" w14:textId="2BE3541A" w:rsidR="001B0F9E" w:rsidRDefault="001B0F9E" w:rsidP="001B0F9E"/>
        </w:tc>
      </w:tr>
      <w:tr w:rsidR="001B0F9E" w14:paraId="1C7C2922" w14:textId="6CB4577D" w:rsidTr="00A702B9">
        <w:trPr>
          <w:trHeight w:val="144"/>
        </w:trPr>
        <w:tc>
          <w:tcPr>
            <w:tcW w:w="1710" w:type="dxa"/>
            <w:tcBorders>
              <w:bottom w:val="single" w:sz="4" w:space="0" w:color="auto"/>
            </w:tcBorders>
          </w:tcPr>
          <w:p w14:paraId="0D2DB6CC" w14:textId="77777777" w:rsidR="001B0F9E" w:rsidRDefault="001B0F9E" w:rsidP="00A702B9">
            <w:pPr>
              <w:ind w:left="680"/>
            </w:pPr>
            <w:r>
              <w:t>78–79%</w:t>
            </w:r>
          </w:p>
        </w:tc>
        <w:tc>
          <w:tcPr>
            <w:tcW w:w="810" w:type="dxa"/>
            <w:tcBorders>
              <w:bottom w:val="single" w:sz="4" w:space="0" w:color="auto"/>
            </w:tcBorders>
          </w:tcPr>
          <w:p w14:paraId="2DCA59C5" w14:textId="77777777" w:rsidR="001B0F9E" w:rsidRDefault="001B0F9E" w:rsidP="001B0F9E">
            <w:r>
              <w:t>C+</w:t>
            </w:r>
          </w:p>
        </w:tc>
        <w:tc>
          <w:tcPr>
            <w:tcW w:w="1584" w:type="dxa"/>
            <w:tcBorders>
              <w:bottom w:val="single" w:sz="4" w:space="0" w:color="auto"/>
            </w:tcBorders>
          </w:tcPr>
          <w:p w14:paraId="46E2B41B" w14:textId="77777777" w:rsidR="001B0F9E" w:rsidRDefault="001B0F9E" w:rsidP="001B0F9E">
            <w:pPr>
              <w:rPr>
                <w:rFonts w:ascii="Times New Roman" w:eastAsia="Times New Roman" w:hAnsi="Times New Roman" w:cs="Times New Roman"/>
              </w:rPr>
            </w:pPr>
          </w:p>
        </w:tc>
        <w:tc>
          <w:tcPr>
            <w:tcW w:w="1152" w:type="dxa"/>
            <w:tcBorders>
              <w:bottom w:val="single" w:sz="4" w:space="0" w:color="auto"/>
            </w:tcBorders>
          </w:tcPr>
          <w:p w14:paraId="02244BF9" w14:textId="77777777" w:rsidR="001B0F9E" w:rsidRDefault="001B0F9E" w:rsidP="001B0F9E">
            <w:pPr>
              <w:rPr>
                <w:rFonts w:ascii="Times New Roman" w:eastAsia="Times New Roman" w:hAnsi="Times New Roman" w:cs="Times New Roman"/>
              </w:rPr>
            </w:pPr>
          </w:p>
        </w:tc>
        <w:tc>
          <w:tcPr>
            <w:tcW w:w="2970" w:type="dxa"/>
            <w:tcBorders>
              <w:bottom w:val="single" w:sz="4" w:space="0" w:color="auto"/>
            </w:tcBorders>
          </w:tcPr>
          <w:p w14:paraId="458352F8" w14:textId="77777777" w:rsidR="001B0F9E" w:rsidRDefault="001B0F9E" w:rsidP="001B0F9E">
            <w:pPr>
              <w:rPr>
                <w:rFonts w:ascii="Times New Roman" w:eastAsia="Times New Roman" w:hAnsi="Times New Roman" w:cs="Times New Roman"/>
              </w:rPr>
            </w:pPr>
          </w:p>
        </w:tc>
        <w:tc>
          <w:tcPr>
            <w:tcW w:w="900" w:type="dxa"/>
            <w:tcBorders>
              <w:bottom w:val="single" w:sz="4" w:space="0" w:color="auto"/>
            </w:tcBorders>
          </w:tcPr>
          <w:p w14:paraId="5A12C0D2" w14:textId="77777777" w:rsidR="001B0F9E" w:rsidRDefault="001B0F9E" w:rsidP="001B0F9E">
            <w:pPr>
              <w:rPr>
                <w:rFonts w:ascii="Times New Roman" w:eastAsia="Times New Roman" w:hAnsi="Times New Roman" w:cs="Times New Roman"/>
              </w:rPr>
            </w:pPr>
          </w:p>
        </w:tc>
      </w:tr>
    </w:tbl>
    <w:p w14:paraId="6242C5F5" w14:textId="77777777" w:rsidR="00BF4A37" w:rsidRDefault="00BF4A37">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36B12238" w14:textId="77777777" w:rsidR="00BF4A37" w:rsidRDefault="001445E8">
      <w:pPr>
        <w:pStyle w:val="Heading3"/>
        <w:ind w:firstLine="360"/>
      </w:pPr>
      <w:r>
        <w:t>Major Assignments and Exams</w:t>
      </w:r>
    </w:p>
    <w:p w14:paraId="447A8C7E" w14:textId="77777777" w:rsidR="00BF4A37" w:rsidRDefault="001445E8" w:rsidP="00F650E8">
      <w:pPr>
        <w:ind w:left="720"/>
        <w:rPr>
          <w:color w:val="0070C0"/>
        </w:rPr>
      </w:pPr>
      <w:r>
        <w:rPr>
          <w:color w:val="0070C0"/>
        </w:rPr>
        <w:t>[This section includes evaluation methods and grading system, i.e., points OR percentages, weighting, etc. that describe how the final course grade is determined. Specify if and how mathematical rounding is used (is a 69.5% a D or a C?).]</w:t>
      </w:r>
    </w:p>
    <w:p w14:paraId="2C6CA8EC" w14:textId="5DE324C4" w:rsidR="00BF4A37" w:rsidRDefault="001445E8" w:rsidP="00FA33E8">
      <w:pPr>
        <w:pStyle w:val="ListParagraph"/>
      </w:pPr>
      <w:r>
        <w:t xml:space="preserve">Exams and quizzes </w:t>
      </w:r>
      <w:r w:rsidRPr="00791FD7">
        <w:rPr>
          <w:color w:val="0070C0"/>
        </w:rPr>
        <w:t xml:space="preserve">[how many, what kind, due dates, </w:t>
      </w:r>
      <w:r w:rsidR="008F33F8" w:rsidRPr="00791FD7">
        <w:rPr>
          <w:color w:val="0070C0"/>
        </w:rPr>
        <w:t xml:space="preserve">value toward final grade, </w:t>
      </w:r>
      <w:r w:rsidRPr="00791FD7">
        <w:rPr>
          <w:color w:val="0070C0"/>
        </w:rPr>
        <w:t>etc.]</w:t>
      </w:r>
    </w:p>
    <w:p w14:paraId="5F9935D5" w14:textId="77777777" w:rsidR="00BF4A37" w:rsidRDefault="001445E8" w:rsidP="00FA33E8">
      <w:pPr>
        <w:pStyle w:val="ListParagraph"/>
      </w:pPr>
      <w:r>
        <w:t xml:space="preserve">Assignments/problem sets/projects/reports/papers </w:t>
      </w:r>
      <w:r w:rsidRPr="00791FD7">
        <w:rPr>
          <w:color w:val="0070C0"/>
        </w:rPr>
        <w:t>[include general information, assessment criteria, format, due dates, policy for late or missed assignments]</w:t>
      </w:r>
    </w:p>
    <w:p w14:paraId="13B30CE4" w14:textId="77777777" w:rsidR="00BF4A37" w:rsidRDefault="001445E8" w:rsidP="00FA33E8">
      <w:pPr>
        <w:pStyle w:val="ListParagraph"/>
        <w:rPr>
          <w:sz w:val="22"/>
          <w:szCs w:val="22"/>
        </w:rPr>
      </w:pPr>
      <w:r>
        <w:t>Other assignments</w:t>
      </w:r>
    </w:p>
    <w:p w14:paraId="57023881" w14:textId="6EF720C0" w:rsidR="00BF4A37" w:rsidRDefault="001445E8">
      <w:pPr>
        <w:pStyle w:val="Heading2"/>
      </w:pPr>
      <w:r>
        <w:t xml:space="preserve">University and College </w:t>
      </w:r>
      <w:r w:rsidR="006E392A">
        <w:t>Expectations</w:t>
      </w:r>
    </w:p>
    <w:p w14:paraId="0B3E971D" w14:textId="77777777" w:rsidR="00BF4A37" w:rsidRDefault="001445E8">
      <w:pPr>
        <w:pStyle w:val="Heading3"/>
        <w:ind w:firstLine="360"/>
      </w:pPr>
      <w:r>
        <w:t>Academic Honesty:</w:t>
      </w:r>
    </w:p>
    <w:p w14:paraId="7B37FCBD" w14:textId="77777777" w:rsidR="00BF4A37" w:rsidRDefault="001445E8" w:rsidP="00F650E8">
      <w:pPr>
        <w:ind w:left="720"/>
        <w:rPr>
          <w:rFonts w:ascii="Times New Roman" w:eastAsia="Times New Roman" w:hAnsi="Times New Roman" w:cs="Times New Roman"/>
          <w:i/>
        </w:rPr>
      </w:pPr>
      <w:r>
        <w:rPr>
          <w:b/>
          <w:i/>
          <w:color w:val="3B3B34"/>
        </w:rPr>
        <w:t>UT Honor Statement</w:t>
      </w:r>
      <w:r>
        <w:t xml:space="preserve">: “An essential feature of the University of Tennessee, Knoxville is a commitment to maintaining an atmosphere of intellectual integrity and academic honesty. As a student </w:t>
      </w:r>
      <w:proofErr w:type="gramStart"/>
      <w:r>
        <w:t>of</w:t>
      </w:r>
      <w:proofErr w:type="gramEnd"/>
      <w:r>
        <w:t xml:space="preserve"> the university, I pledge that I will neither knowingly give nor receive any inappropriate assistance in academic work, thus affirming my own personal commitment to honor and integrity.”</w:t>
      </w:r>
    </w:p>
    <w:p w14:paraId="275083B4" w14:textId="77777777" w:rsidR="00465782" w:rsidRDefault="00465782" w:rsidP="00465782">
      <w:pPr>
        <w:pStyle w:val="Heading3"/>
        <w:ind w:firstLine="360"/>
      </w:pPr>
      <w:r>
        <w:lastRenderedPageBreak/>
        <w:t>Use of Generative AI Tools:</w:t>
      </w:r>
    </w:p>
    <w:p w14:paraId="56D96163" w14:textId="77777777" w:rsidR="00465782" w:rsidRDefault="00465782" w:rsidP="00F650E8">
      <w:pPr>
        <w:ind w:left="720"/>
        <w:rPr>
          <w:color w:val="0070C0"/>
        </w:rPr>
      </w:pPr>
      <w:r w:rsidRPr="00CA1082">
        <w:rPr>
          <w:color w:val="0070C0"/>
        </w:rPr>
        <w:t xml:space="preserve">[Choose </w:t>
      </w:r>
      <w:r w:rsidRPr="00CA1082">
        <w:rPr>
          <w:color w:val="0070C0"/>
          <w:u w:val="single"/>
        </w:rPr>
        <w:t>ONE</w:t>
      </w:r>
      <w:r w:rsidRPr="00CA1082">
        <w:rPr>
          <w:color w:val="0070C0"/>
        </w:rPr>
        <w:t xml:space="preserve"> of the statements</w:t>
      </w:r>
      <w:r>
        <w:rPr>
          <w:color w:val="0070C0"/>
        </w:rPr>
        <w:t xml:space="preserve"> below</w:t>
      </w:r>
      <w:r w:rsidRPr="00CA1082">
        <w:rPr>
          <w:color w:val="0070C0"/>
        </w:rPr>
        <w:t>, according to instructor preference.</w:t>
      </w:r>
      <w:r>
        <w:rPr>
          <w:color w:val="0070C0"/>
        </w:rPr>
        <w:t xml:space="preserve"> Then, delete the other statements, and change the font color to </w:t>
      </w:r>
      <w:r w:rsidRPr="00CA1082">
        <w:rPr>
          <w:color w:val="000000" w:themeColor="text1"/>
        </w:rPr>
        <w:t>black</w:t>
      </w:r>
      <w:r>
        <w:rPr>
          <w:color w:val="0070C0"/>
        </w:rPr>
        <w:t>.</w:t>
      </w:r>
      <w:r w:rsidRPr="00CA1082">
        <w:rPr>
          <w:color w:val="0070C0"/>
        </w:rPr>
        <w:t>]</w:t>
      </w:r>
    </w:p>
    <w:p w14:paraId="6C79FA5D" w14:textId="75A9A14D" w:rsidR="00465782" w:rsidRPr="00CA1082" w:rsidRDefault="00465782" w:rsidP="00F650E8">
      <w:pPr>
        <w:ind w:left="720"/>
        <w:rPr>
          <w:color w:val="0070C0"/>
        </w:rPr>
      </w:pPr>
      <w:r>
        <w:rPr>
          <w:color w:val="0070C0"/>
        </w:rPr>
        <w:t xml:space="preserve">OPTION 1: </w:t>
      </w:r>
      <w:r w:rsidRPr="00CA1082">
        <w:rPr>
          <w:b/>
          <w:color w:val="0070C0"/>
        </w:rPr>
        <w:t>Permitted in this course with attribution</w:t>
      </w:r>
      <w:r>
        <w:rPr>
          <w:color w:val="0070C0"/>
        </w:rPr>
        <w:t xml:space="preserve">. </w:t>
      </w:r>
      <w:r w:rsidRPr="00CA1082">
        <w:rPr>
          <w:color w:val="0070C0"/>
        </w:rPr>
        <w:t xml:space="preserve">In this course, students are encouraged to use Generative AI Tools like </w:t>
      </w:r>
      <w:r w:rsidR="003E3FA7">
        <w:rPr>
          <w:color w:val="0070C0"/>
        </w:rPr>
        <w:t>UT Verse</w:t>
      </w:r>
      <w:r w:rsidRPr="00CA1082">
        <w:rPr>
          <w:color w:val="0070C0"/>
        </w:rPr>
        <w:t xml:space="preserve"> to support their work. To maintain academic integrity, students must disclose any AI-generated material they use and properly attribute it, including in-text citations, quotations, and references.</w:t>
      </w:r>
    </w:p>
    <w:p w14:paraId="1E86B51A" w14:textId="77777777" w:rsidR="00465782" w:rsidRDefault="00465782" w:rsidP="00F650E8">
      <w:pPr>
        <w:ind w:left="720"/>
        <w:rPr>
          <w:color w:val="0070C0"/>
        </w:rPr>
      </w:pPr>
      <w:r w:rsidRPr="00CA1082">
        <w:rPr>
          <w:color w:val="0070C0"/>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0DE6EE7" w14:textId="32197E03" w:rsidR="00465782" w:rsidRPr="007C2A4D" w:rsidRDefault="00465782" w:rsidP="00F650E8">
      <w:pPr>
        <w:ind w:left="720"/>
        <w:rPr>
          <w:color w:val="0070C0"/>
        </w:rPr>
      </w:pPr>
      <w:r>
        <w:rPr>
          <w:color w:val="0070C0"/>
        </w:rPr>
        <w:t xml:space="preserve">OPTION 2: </w:t>
      </w:r>
      <w:r w:rsidRPr="007C2A4D">
        <w:rPr>
          <w:b/>
          <w:color w:val="0070C0"/>
        </w:rPr>
        <w:t xml:space="preserve">Permitted when assigned </w:t>
      </w:r>
      <w:proofErr w:type="gramStart"/>
      <w:r w:rsidRPr="007C2A4D">
        <w:rPr>
          <w:b/>
          <w:color w:val="0070C0"/>
        </w:rPr>
        <w:t>in</w:t>
      </w:r>
      <w:proofErr w:type="gramEnd"/>
      <w:r w:rsidRPr="007C2A4D">
        <w:rPr>
          <w:b/>
          <w:color w:val="0070C0"/>
        </w:rPr>
        <w:t xml:space="preserve"> this course with attribution</w:t>
      </w:r>
      <w:r>
        <w:rPr>
          <w:color w:val="0070C0"/>
        </w:rPr>
        <w:t xml:space="preserve">. </w:t>
      </w:r>
      <w:r w:rsidRPr="007C2A4D">
        <w:rPr>
          <w:color w:val="0070C0"/>
        </w:rPr>
        <w:t xml:space="preserve">In this course, students are permitted to use Generative AI Tools such as </w:t>
      </w:r>
      <w:r w:rsidR="003E3FA7">
        <w:rPr>
          <w:color w:val="0070C0"/>
        </w:rPr>
        <w:t>UT Verse</w:t>
      </w:r>
      <w:r w:rsidRPr="007C2A4D">
        <w:rPr>
          <w:color w:val="0070C0"/>
        </w:rPr>
        <w:t xml:space="preserve"> for specific assignments, as designated by the instructor. To maintain academic integrity, students must disclose any use of AI-generated material. As always, students must properly use attributions, including in-text citations, quotations, and references.</w:t>
      </w:r>
    </w:p>
    <w:p w14:paraId="60516031" w14:textId="77777777" w:rsidR="00465782" w:rsidRDefault="00465782" w:rsidP="00F650E8">
      <w:pPr>
        <w:ind w:left="720"/>
        <w:rPr>
          <w:color w:val="0070C0"/>
        </w:rPr>
      </w:pPr>
      <w:r w:rsidRPr="007C2A4D">
        <w:rPr>
          <w:color w:val="0070C0"/>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CE4348F" w14:textId="3A9EF971" w:rsidR="00465782" w:rsidRPr="00CA1082" w:rsidRDefault="00465782" w:rsidP="00F650E8">
      <w:pPr>
        <w:ind w:left="720"/>
        <w:rPr>
          <w:color w:val="0070C0"/>
        </w:rPr>
      </w:pPr>
      <w:r>
        <w:rPr>
          <w:color w:val="0070C0"/>
        </w:rPr>
        <w:t xml:space="preserve">OPTION 3: </w:t>
      </w:r>
      <w:r w:rsidRPr="007C2A4D">
        <w:rPr>
          <w:b/>
          <w:color w:val="0070C0"/>
        </w:rPr>
        <w:t xml:space="preserve">Not permitted </w:t>
      </w:r>
      <w:proofErr w:type="gramStart"/>
      <w:r w:rsidRPr="007C2A4D">
        <w:rPr>
          <w:b/>
          <w:color w:val="0070C0"/>
        </w:rPr>
        <w:t>in</w:t>
      </w:r>
      <w:proofErr w:type="gramEnd"/>
      <w:r w:rsidRPr="007C2A4D">
        <w:rPr>
          <w:b/>
          <w:color w:val="0070C0"/>
        </w:rPr>
        <w:t xml:space="preserve"> this course</w:t>
      </w:r>
      <w:r>
        <w:rPr>
          <w:color w:val="0070C0"/>
        </w:rPr>
        <w:t xml:space="preserve">. </w:t>
      </w:r>
      <w:r w:rsidRPr="007C2A4D">
        <w:rPr>
          <w:color w:val="0070C0"/>
        </w:rPr>
        <w:t xml:space="preserve">In this course, it is expected that all submitted work </w:t>
      </w:r>
      <w:proofErr w:type="gramStart"/>
      <w:r w:rsidRPr="007C2A4D">
        <w:rPr>
          <w:color w:val="0070C0"/>
        </w:rPr>
        <w:t>is</w:t>
      </w:r>
      <w:proofErr w:type="gramEnd"/>
      <w:r w:rsidRPr="007C2A4D">
        <w:rPr>
          <w:color w:val="0070C0"/>
        </w:rPr>
        <w:t xml:space="preserve"> produced by the students themselves, whether individually or collaboratively. Students must not seek the assistance of Generative AI Tools like </w:t>
      </w:r>
      <w:r w:rsidR="0061111A">
        <w:rPr>
          <w:color w:val="0070C0"/>
        </w:rPr>
        <w:t>UT Verse</w:t>
      </w:r>
      <w:r w:rsidRPr="007C2A4D">
        <w:rPr>
          <w:color w:val="0070C0"/>
        </w:rPr>
        <w:t>. Use of a Generative AI Tool to complete an assignment constitutes academic dishonesty.</w:t>
      </w:r>
    </w:p>
    <w:p w14:paraId="2DE7CA42" w14:textId="7F99B7DB" w:rsidR="00BF4A37" w:rsidRDefault="001445E8">
      <w:pPr>
        <w:pStyle w:val="Heading3"/>
        <w:ind w:firstLine="360"/>
      </w:pPr>
      <w:r>
        <w:t>UT Code of Conduct:</w:t>
      </w:r>
    </w:p>
    <w:p w14:paraId="30471986" w14:textId="2CD788EA" w:rsidR="00BF4A37" w:rsidRDefault="001445E8" w:rsidP="00F650E8">
      <w:pPr>
        <w:ind w:left="720"/>
      </w:pPr>
      <w:r>
        <w:t>A professional approach to the class – including prompt class attendance, attentive behavior during classes, and respectful interpersonal interactions – is expected from students and instructors. Behavior associated with all examinations/assignments (</w:t>
      </w:r>
      <w:r>
        <w:rPr>
          <w:i/>
        </w:rPr>
        <w:t>including open-book exams/quizzes</w:t>
      </w:r>
      <w:r>
        <w:t xml:space="preserve">) fall under the regulations of UT Academic Standards and Student Code of Conduct. The UT Student Conduct Board adjudicates claims of student academic misconduct. For more information: </w:t>
      </w:r>
      <w:hyperlink r:id="rId13">
        <w:proofErr w:type="spellStart"/>
        <w:r>
          <w:rPr>
            <w:i/>
            <w:color w:val="0000FF"/>
            <w:u w:val="single"/>
          </w:rPr>
          <w:t>Hillt</w:t>
        </w:r>
        <w:r>
          <w:rPr>
            <w:i/>
            <w:color w:val="0000FF"/>
            <w:u w:val="single"/>
          </w:rPr>
          <w:t>o</w:t>
        </w:r>
        <w:r>
          <w:rPr>
            <w:i/>
            <w:color w:val="0000FF"/>
            <w:u w:val="single"/>
          </w:rPr>
          <w:t>pics</w:t>
        </w:r>
        <w:proofErr w:type="spellEnd"/>
      </w:hyperlink>
      <w:r>
        <w:rPr>
          <w:color w:val="000000"/>
        </w:rPr>
        <w:t xml:space="preserve"> and the </w:t>
      </w:r>
      <w:hyperlink r:id="rId14">
        <w:r w:rsidRPr="00791FD7">
          <w:rPr>
            <w:color w:val="0000FF"/>
            <w:u w:val="single"/>
          </w:rPr>
          <w:t xml:space="preserve">UT Code of </w:t>
        </w:r>
        <w:r w:rsidRPr="00791FD7">
          <w:rPr>
            <w:color w:val="0000FF"/>
            <w:u w:val="single"/>
          </w:rPr>
          <w:t>C</w:t>
        </w:r>
        <w:r w:rsidRPr="00791FD7">
          <w:rPr>
            <w:color w:val="0000FF"/>
            <w:u w:val="single"/>
          </w:rPr>
          <w:t>onduct</w:t>
        </w:r>
      </w:hyperlink>
      <w:r w:rsidRPr="00791FD7">
        <w:t>.</w:t>
      </w:r>
      <w:r>
        <w:t xml:space="preserve"> </w:t>
      </w:r>
    </w:p>
    <w:p w14:paraId="32AAF176" w14:textId="30D70321" w:rsidR="00BF4A37" w:rsidRDefault="001445E8">
      <w:pPr>
        <w:pStyle w:val="Heading3"/>
        <w:ind w:firstLine="360"/>
      </w:pPr>
      <w:r>
        <w:t>Civility Statement:</w:t>
      </w:r>
    </w:p>
    <w:p w14:paraId="62FE1627" w14:textId="299F9565" w:rsidR="00BF4A37" w:rsidRDefault="001445E8" w:rsidP="00F650E8">
      <w:pPr>
        <w:ind w:left="720"/>
        <w:rPr>
          <w:color w:val="0000FF"/>
          <w:u w:val="single"/>
        </w:rPr>
      </w:pPr>
      <w:r>
        <w:t>Affirming the value of each member of the university community, the campus asks that all its members adhere to the principles of civility and community adopted by the campus</w:t>
      </w:r>
      <w:r w:rsidR="008B60A2">
        <w:t>.</w:t>
      </w:r>
      <w:r w:rsidR="00FB4DD0">
        <w:t xml:space="preserve"> </w:t>
      </w:r>
      <w:r w:rsidR="008B60A2">
        <w:rPr>
          <w:color w:val="0000FF"/>
          <w:u w:val="single"/>
        </w:rPr>
        <w:t xml:space="preserve"> </w:t>
      </w:r>
    </w:p>
    <w:p w14:paraId="68954113" w14:textId="6136628F" w:rsidR="008B60A2" w:rsidRPr="008B60A2" w:rsidRDefault="00C7657F" w:rsidP="00F650E8">
      <w:pPr>
        <w:ind w:left="720"/>
        <w:rPr>
          <w:color w:val="000000" w:themeColor="text1"/>
        </w:rPr>
      </w:pPr>
      <w:r>
        <w:rPr>
          <w:color w:val="000000" w:themeColor="text1"/>
        </w:rPr>
        <w:t xml:space="preserve">As a </w:t>
      </w:r>
      <w:hyperlink r:id="rId15" w:history="1">
        <w:r w:rsidRPr="00BB30BE">
          <w:rPr>
            <w:rStyle w:val="Hyperlink"/>
          </w:rPr>
          <w:t>campus community</w:t>
        </w:r>
      </w:hyperlink>
      <w:r>
        <w:rPr>
          <w:color w:val="000000" w:themeColor="text1"/>
        </w:rPr>
        <w:t>, w</w:t>
      </w:r>
      <w:r w:rsidR="006F582C">
        <w:rPr>
          <w:color w:val="000000" w:themeColor="text1"/>
        </w:rPr>
        <w:t xml:space="preserve">e strive to </w:t>
      </w:r>
      <w:r w:rsidR="005241F9">
        <w:rPr>
          <w:color w:val="000000" w:themeColor="text1"/>
        </w:rPr>
        <w:t>cultivate a welcoming environment</w:t>
      </w:r>
      <w:r w:rsidR="0076499B">
        <w:rPr>
          <w:color w:val="000000" w:themeColor="text1"/>
        </w:rPr>
        <w:t xml:space="preserve"> and </w:t>
      </w:r>
      <w:r w:rsidR="007F3723">
        <w:rPr>
          <w:color w:val="000000" w:themeColor="text1"/>
        </w:rPr>
        <w:t xml:space="preserve">challenge students to support a culture of respectful dialogue. </w:t>
      </w:r>
      <w:r w:rsidR="00673FAE">
        <w:rPr>
          <w:color w:val="000000" w:themeColor="text1"/>
        </w:rPr>
        <w:t xml:space="preserve">We support the University of Tennessee’s strategic vision through access, belonging, a culture of respect, and community. </w:t>
      </w:r>
    </w:p>
    <w:p w14:paraId="3A11F15A" w14:textId="77777777" w:rsidR="00BF4A37" w:rsidRDefault="001445E8">
      <w:pPr>
        <w:pStyle w:val="Heading3"/>
        <w:ind w:firstLine="360"/>
      </w:pPr>
      <w:r>
        <w:t>Disability Services:</w:t>
      </w:r>
    </w:p>
    <w:p w14:paraId="01F17E34" w14:textId="0DD5AEEC" w:rsidR="00BF4A37" w:rsidRDefault="001445E8" w:rsidP="008E6E80">
      <w:pPr>
        <w:ind w:left="720"/>
      </w:pPr>
      <w:r>
        <w:t xml:space="preserve">The University of Tennessee, Knoxville, is committed to </w:t>
      </w:r>
      <w:r w:rsidR="00EE4358">
        <w:t xml:space="preserve">partnering with the UTCVM community to ensure an accessible </w:t>
      </w:r>
      <w:r w:rsidR="004B2011">
        <w:t>learning environment</w:t>
      </w:r>
      <w:r w:rsidR="00EE4358">
        <w:t xml:space="preserve"> for </w:t>
      </w:r>
      <w:r w:rsidR="004B2011">
        <w:t xml:space="preserve">all </w:t>
      </w:r>
      <w:r w:rsidR="00EE4358">
        <w:t>students</w:t>
      </w:r>
      <w:r w:rsidR="004B2011">
        <w:t>.</w:t>
      </w:r>
      <w:r w:rsidR="00EE4358">
        <w:t xml:space="preserve"> </w:t>
      </w:r>
      <w:r w:rsidR="008E6E80" w:rsidRPr="008E6E80">
        <w:t>If you anticipate or experience a barrier in this course due to a chronic health condition</w:t>
      </w:r>
      <w:r w:rsidR="008E6E80">
        <w:t>;</w:t>
      </w:r>
      <w:r w:rsidR="008E6E80" w:rsidRPr="008E6E80">
        <w:t xml:space="preserve"> a learning, hearing, neurological, mental health, vision, physical, or other kind of disability</w:t>
      </w:r>
      <w:r w:rsidR="008E6E80">
        <w:t>;</w:t>
      </w:r>
      <w:r w:rsidR="008E6E80" w:rsidRPr="008E6E80">
        <w:t xml:space="preserve"> or a temporary injury, you are encouraged to contact Student </w:t>
      </w:r>
      <w:r w:rsidR="008E6E80" w:rsidRPr="008E6E80">
        <w:lastRenderedPageBreak/>
        <w:t xml:space="preserve">Disability Services (SDS) at 865-974-6087 or </w:t>
      </w:r>
      <w:hyperlink r:id="rId16" w:history="1">
        <w:r w:rsidR="008E6E80" w:rsidRPr="00FC030B">
          <w:rPr>
            <w:rStyle w:val="Hyperlink"/>
          </w:rPr>
          <w:t>sds@utk.edu</w:t>
        </w:r>
      </w:hyperlink>
      <w:r w:rsidR="008E6E80" w:rsidRPr="008E6E80">
        <w:t xml:space="preserve">. An SDS Coordinator will meet with you to develop a plan to ensure you have equitable access to this course. If you are already registered with SDS, please contact your </w:t>
      </w:r>
      <w:r w:rsidR="0087765F">
        <w:t>course coordinator</w:t>
      </w:r>
      <w:r w:rsidR="008E6E80" w:rsidRPr="008E6E80">
        <w:t xml:space="preserve"> to discuss implementing accommodations included in your course access letter. You may also contact your SDS Coordinator if you have any questions, concerns, or experience any barriers to using your accommodations </w:t>
      </w:r>
      <w:proofErr w:type="gramStart"/>
      <w:r w:rsidR="008E6E80" w:rsidRPr="008E6E80">
        <w:t>in</w:t>
      </w:r>
      <w:proofErr w:type="gramEnd"/>
      <w:r w:rsidR="008E6E80" w:rsidRPr="008E6E80">
        <w:t xml:space="preserve"> this course.</w:t>
      </w:r>
    </w:p>
    <w:p w14:paraId="4FFED309" w14:textId="77777777" w:rsidR="00BF4A37" w:rsidRDefault="001445E8">
      <w:pPr>
        <w:pStyle w:val="Heading3"/>
        <w:ind w:firstLine="360"/>
      </w:pPr>
      <w:r>
        <w:t>Inclement Weather Policy:</w:t>
      </w:r>
    </w:p>
    <w:p w14:paraId="7DF2DDA0" w14:textId="77777777" w:rsidR="00BF4A37" w:rsidRDefault="001445E8" w:rsidP="00F650E8">
      <w:pPr>
        <w:ind w:left="720"/>
        <w:rPr>
          <w:rFonts w:ascii="Times New Roman" w:eastAsia="Times New Roman" w:hAnsi="Times New Roman" w:cs="Times New Roman"/>
        </w:rPr>
      </w:pPr>
      <w:r>
        <w:t xml:space="preserve">The university remains open except in the most severe weather conditions. If the university is closed, academic classes, laboratories, and exams will be rescheduled as appropriate. If the university remains open, students are expected to attend scheduled academic classes but are advised to avoid undue risks in travel. Students are responsible for any academic work </w:t>
      </w:r>
      <w:proofErr w:type="gramStart"/>
      <w:r>
        <w:t>missed</w:t>
      </w:r>
      <w:proofErr w:type="gramEnd"/>
      <w:r>
        <w:t xml:space="preserve"> and are responsible for taking the initiative to make up such work. </w:t>
      </w:r>
    </w:p>
    <w:p w14:paraId="692D4FC3" w14:textId="77777777" w:rsidR="00BF4A37" w:rsidRDefault="001445E8">
      <w:pPr>
        <w:pStyle w:val="Heading3"/>
        <w:ind w:firstLine="360"/>
      </w:pPr>
      <w:r>
        <w:t>Your Role in Improving Teaching &amp; Learning Through Course Assessment:</w:t>
      </w:r>
    </w:p>
    <w:p w14:paraId="0A59E9CC" w14:textId="77777777" w:rsidR="00BF4A37" w:rsidRDefault="001445E8" w:rsidP="00F650E8">
      <w:pPr>
        <w:ind w:left="720"/>
        <w:rPr>
          <w:rFonts w:ascii="Times New Roman" w:eastAsia="Times New Roman" w:hAnsi="Times New Roman" w:cs="Times New Roman"/>
        </w:rPr>
      </w:pPr>
      <w:r>
        <w:t>At the UTCVM, it is our collective responsibility to improve the state of teaching and learning. During the semester, you will be requested to assess aspects of this course either during class or at the completion of the class. You are expected to respond to these various forms of assessment as a means of continuing to improve the quality of the UTCVM learning experience.</w:t>
      </w:r>
    </w:p>
    <w:p w14:paraId="366AF78C" w14:textId="77777777" w:rsidR="00BF4A37" w:rsidRDefault="001445E8">
      <w:pPr>
        <w:pStyle w:val="Heading2"/>
      </w:pPr>
      <w:r>
        <w:t>Key Campus &amp; UTCVM Resources for Students</w:t>
      </w:r>
    </w:p>
    <w:p w14:paraId="40A797CA" w14:textId="77777777" w:rsidR="00BF4A37" w:rsidRDefault="001445E8">
      <w:pPr>
        <w:numPr>
          <w:ilvl w:val="0"/>
          <w:numId w:val="5"/>
        </w:numPr>
        <w:pBdr>
          <w:top w:val="nil"/>
          <w:left w:val="nil"/>
          <w:bottom w:val="nil"/>
          <w:right w:val="nil"/>
          <w:between w:val="nil"/>
        </w:pBdr>
        <w:spacing w:after="0"/>
        <w:rPr>
          <w:color w:val="4A452A"/>
        </w:rPr>
      </w:pPr>
      <w:hyperlink r:id="rId17">
        <w:r>
          <w:rPr>
            <w:color w:val="0000FF"/>
            <w:u w:val="single"/>
          </w:rPr>
          <w:t>Zoom Professiona</w:t>
        </w:r>
        <w:r>
          <w:rPr>
            <w:color w:val="0000FF"/>
            <w:u w:val="single"/>
          </w:rPr>
          <w:t>l</w:t>
        </w:r>
        <w:r>
          <w:rPr>
            <w:color w:val="0000FF"/>
            <w:u w:val="single"/>
          </w:rPr>
          <w:t>ism Guidelines</w:t>
        </w:r>
      </w:hyperlink>
    </w:p>
    <w:p w14:paraId="787709BB" w14:textId="77777777" w:rsidR="00BF4A37" w:rsidRDefault="001445E8">
      <w:pPr>
        <w:numPr>
          <w:ilvl w:val="0"/>
          <w:numId w:val="5"/>
        </w:numPr>
        <w:pBdr>
          <w:top w:val="nil"/>
          <w:left w:val="nil"/>
          <w:bottom w:val="nil"/>
          <w:right w:val="nil"/>
          <w:between w:val="nil"/>
        </w:pBdr>
        <w:spacing w:after="0"/>
        <w:rPr>
          <w:color w:val="0000FF"/>
          <w:u w:val="single"/>
        </w:rPr>
      </w:pPr>
      <w:r>
        <w:fldChar w:fldCharType="begin"/>
      </w:r>
      <w:r>
        <w:instrText xml:space="preserve"> HYPERLINK "https://vetmed.tennessee.edu/academics/current-students/handbook-and-policies/" </w:instrText>
      </w:r>
      <w:r>
        <w:fldChar w:fldCharType="separate"/>
      </w:r>
      <w:r>
        <w:rPr>
          <w:color w:val="0000FF"/>
          <w:u w:val="single"/>
        </w:rPr>
        <w:t>UTCVM Student</w:t>
      </w:r>
      <w:r>
        <w:rPr>
          <w:color w:val="0000FF"/>
          <w:u w:val="single"/>
        </w:rPr>
        <w:t xml:space="preserve"> </w:t>
      </w:r>
      <w:r>
        <w:rPr>
          <w:color w:val="0000FF"/>
          <w:u w:val="single"/>
        </w:rPr>
        <w:t>Handbook</w:t>
      </w:r>
    </w:p>
    <w:p w14:paraId="09BD339D" w14:textId="24143D38" w:rsidR="00BF4A37" w:rsidRDefault="001445E8">
      <w:pPr>
        <w:numPr>
          <w:ilvl w:val="0"/>
          <w:numId w:val="5"/>
        </w:numPr>
        <w:pBdr>
          <w:top w:val="nil"/>
          <w:left w:val="nil"/>
          <w:bottom w:val="nil"/>
          <w:right w:val="nil"/>
          <w:between w:val="nil"/>
        </w:pBdr>
        <w:spacing w:after="0"/>
        <w:rPr>
          <w:color w:val="0000FF"/>
          <w:u w:val="single"/>
        </w:rPr>
      </w:pPr>
      <w:r>
        <w:fldChar w:fldCharType="end"/>
      </w:r>
      <w:r>
        <w:fldChar w:fldCharType="begin"/>
      </w:r>
      <w:r w:rsidR="00DD6C68">
        <w:instrText>HYPERLINK "https://liveutk.sharepoint.com/sites/cvm/SitePages/Home.aspx"</w:instrText>
      </w:r>
      <w:r>
        <w:fldChar w:fldCharType="separate"/>
      </w:r>
      <w:proofErr w:type="spellStart"/>
      <w:r>
        <w:rPr>
          <w:color w:val="0000FF"/>
          <w:u w:val="single"/>
        </w:rPr>
        <w:t>Vet</w:t>
      </w:r>
      <w:r>
        <w:rPr>
          <w:color w:val="0000FF"/>
          <w:u w:val="single"/>
        </w:rPr>
        <w:t>N</w:t>
      </w:r>
      <w:r>
        <w:rPr>
          <w:color w:val="0000FF"/>
          <w:u w:val="single"/>
        </w:rPr>
        <w:t>et</w:t>
      </w:r>
      <w:proofErr w:type="spellEnd"/>
    </w:p>
    <w:p w14:paraId="3A71B812" w14:textId="6BBAB60A" w:rsidR="00BF4A37" w:rsidRDefault="001445E8">
      <w:pPr>
        <w:numPr>
          <w:ilvl w:val="0"/>
          <w:numId w:val="5"/>
        </w:numPr>
        <w:pBdr>
          <w:top w:val="nil"/>
          <w:left w:val="nil"/>
          <w:bottom w:val="nil"/>
          <w:right w:val="nil"/>
          <w:between w:val="nil"/>
        </w:pBdr>
        <w:spacing w:after="0"/>
        <w:rPr>
          <w:color w:val="000000"/>
        </w:rPr>
      </w:pPr>
      <w:r>
        <w:fldChar w:fldCharType="end"/>
      </w:r>
      <w:r>
        <w:rPr>
          <w:color w:val="000000"/>
        </w:rPr>
        <w:t xml:space="preserve">UT </w:t>
      </w:r>
      <w:hyperlink r:id="rId18">
        <w:r w:rsidRPr="0087765F">
          <w:rPr>
            <w:color w:val="3333FF"/>
            <w:u w:val="single"/>
          </w:rPr>
          <w:t>Gradua</w:t>
        </w:r>
        <w:r w:rsidRPr="0087765F">
          <w:rPr>
            <w:color w:val="3333FF"/>
            <w:u w:val="single"/>
          </w:rPr>
          <w:t>t</w:t>
        </w:r>
        <w:r w:rsidRPr="0087765F">
          <w:rPr>
            <w:color w:val="3333FF"/>
            <w:u w:val="single"/>
          </w:rPr>
          <w:t>e Catalog</w:t>
        </w:r>
      </w:hyperlink>
    </w:p>
    <w:p w14:paraId="37AF608F" w14:textId="42527FA6" w:rsidR="00BF4A37" w:rsidRDefault="001445E8">
      <w:pPr>
        <w:numPr>
          <w:ilvl w:val="0"/>
          <w:numId w:val="4"/>
        </w:numPr>
        <w:pBdr>
          <w:top w:val="nil"/>
          <w:left w:val="nil"/>
          <w:bottom w:val="nil"/>
          <w:right w:val="nil"/>
          <w:between w:val="nil"/>
        </w:pBdr>
        <w:spacing w:after="0"/>
      </w:pPr>
      <w:hyperlink r:id="rId19">
        <w:proofErr w:type="spellStart"/>
        <w:r>
          <w:rPr>
            <w:color w:val="3333FF"/>
            <w:u w:val="single"/>
          </w:rPr>
          <w:t>Hill</w:t>
        </w:r>
        <w:r>
          <w:rPr>
            <w:color w:val="3333FF"/>
            <w:u w:val="single"/>
          </w:rPr>
          <w:t>t</w:t>
        </w:r>
        <w:r>
          <w:rPr>
            <w:color w:val="3333FF"/>
            <w:u w:val="single"/>
          </w:rPr>
          <w:t>opics</w:t>
        </w:r>
        <w:proofErr w:type="spellEnd"/>
      </w:hyperlink>
      <w:r>
        <w:rPr>
          <w:color w:val="000000"/>
        </w:rPr>
        <w:t xml:space="preserve"> </w:t>
      </w:r>
    </w:p>
    <w:p w14:paraId="5E181581" w14:textId="77777777" w:rsidR="00BF4A37" w:rsidRDefault="001445E8">
      <w:pPr>
        <w:numPr>
          <w:ilvl w:val="0"/>
          <w:numId w:val="4"/>
        </w:numPr>
        <w:pBdr>
          <w:top w:val="nil"/>
          <w:left w:val="nil"/>
          <w:bottom w:val="nil"/>
          <w:right w:val="nil"/>
          <w:between w:val="nil"/>
        </w:pBdr>
      </w:pPr>
      <w:hyperlink r:id="rId20">
        <w:r>
          <w:rPr>
            <w:color w:val="3333FF"/>
            <w:u w:val="single"/>
          </w:rPr>
          <w:t>Lib</w:t>
        </w:r>
        <w:r>
          <w:rPr>
            <w:color w:val="3333FF"/>
            <w:u w:val="single"/>
          </w:rPr>
          <w:t>r</w:t>
        </w:r>
        <w:r>
          <w:rPr>
            <w:color w:val="3333FF"/>
            <w:u w:val="single"/>
          </w:rPr>
          <w:t>ary</w:t>
        </w:r>
      </w:hyperlink>
      <w:r>
        <w:rPr>
          <w:color w:val="000000"/>
        </w:rPr>
        <w:t xml:space="preserve"> </w:t>
      </w:r>
    </w:p>
    <w:p w14:paraId="5CFDE19C" w14:textId="77777777" w:rsidR="00BF4A37" w:rsidRDefault="001445E8">
      <w:pPr>
        <w:pStyle w:val="Heading2"/>
      </w:pPr>
      <w:r>
        <w:t>Course Schedule</w:t>
      </w:r>
    </w:p>
    <w:p w14:paraId="12C4FF28" w14:textId="049D62AD" w:rsidR="00BF4A37" w:rsidRDefault="001445E8">
      <w:pPr>
        <w:rPr>
          <w:i/>
          <w:color w:val="0070C0"/>
        </w:rPr>
      </w:pPr>
      <w:r>
        <w:rPr>
          <w:color w:val="0070C0"/>
        </w:rPr>
        <w:t xml:space="preserve">[This section </w:t>
      </w:r>
      <w:r w:rsidR="00CA1082">
        <w:rPr>
          <w:color w:val="0070C0"/>
        </w:rPr>
        <w:t xml:space="preserve">should be </w:t>
      </w:r>
      <w:r w:rsidR="00CA1082" w:rsidRPr="00F650E8">
        <w:rPr>
          <w:b/>
          <w:color w:val="0070C0"/>
        </w:rPr>
        <w:t>included</w:t>
      </w:r>
      <w:r w:rsidR="00CA1082">
        <w:rPr>
          <w:color w:val="0070C0"/>
        </w:rPr>
        <w:t xml:space="preserve"> with the syllabus rather than as a separate document. It </w:t>
      </w:r>
      <w:r>
        <w:rPr>
          <w:color w:val="0070C0"/>
        </w:rPr>
        <w:t xml:space="preserve">typically includes a table with the calendar, topics, assignments, dates for exams and due dates, special events, etc. </w:t>
      </w:r>
      <w:proofErr w:type="gramStart"/>
      <w:r>
        <w:rPr>
          <w:color w:val="0070C0"/>
        </w:rPr>
        <w:t>So</w:t>
      </w:r>
      <w:proofErr w:type="gramEnd"/>
      <w:r>
        <w:rPr>
          <w:color w:val="0070C0"/>
        </w:rPr>
        <w:t xml:space="preserve"> students can easily locate labs and exams, consider </w:t>
      </w:r>
      <w:r w:rsidR="00B1058B" w:rsidRPr="00B1058B">
        <w:rPr>
          <w:b/>
          <w:bCs/>
          <w:color w:val="0070C0"/>
        </w:rPr>
        <w:t>bolding</w:t>
      </w:r>
      <w:r>
        <w:rPr>
          <w:color w:val="0070C0"/>
        </w:rPr>
        <w:t xml:space="preserve"> those parts of the table.]  </w:t>
      </w:r>
    </w:p>
    <w:tbl>
      <w:tblPr>
        <w:tblStyle w:val="a0"/>
        <w:tblW w:w="9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823"/>
        <w:gridCol w:w="1873"/>
        <w:gridCol w:w="2379"/>
        <w:gridCol w:w="1872"/>
        <w:gridCol w:w="1493"/>
      </w:tblGrid>
      <w:tr w:rsidR="00BF4A37" w14:paraId="5138CE4F" w14:textId="77777777" w:rsidTr="00FA33E8">
        <w:trPr>
          <w:tblHeader/>
        </w:trPr>
        <w:tc>
          <w:tcPr>
            <w:tcW w:w="1823" w:type="dxa"/>
          </w:tcPr>
          <w:p w14:paraId="2701CA94" w14:textId="77777777" w:rsidR="00BF4A37" w:rsidRPr="00FA33E8" w:rsidRDefault="001445E8" w:rsidP="00FA33E8">
            <w:pPr>
              <w:rPr>
                <w:b/>
                <w:bCs/>
                <w:sz w:val="24"/>
                <w:szCs w:val="24"/>
              </w:rPr>
            </w:pPr>
            <w:r w:rsidRPr="00FA33E8">
              <w:rPr>
                <w:b/>
                <w:bCs/>
                <w:sz w:val="24"/>
                <w:szCs w:val="24"/>
              </w:rPr>
              <w:t>Lecture/Lab</w:t>
            </w:r>
          </w:p>
        </w:tc>
        <w:tc>
          <w:tcPr>
            <w:tcW w:w="1873" w:type="dxa"/>
          </w:tcPr>
          <w:p w14:paraId="0AC55DD8" w14:textId="77777777" w:rsidR="00BF4A37" w:rsidRPr="00FA33E8" w:rsidRDefault="001445E8" w:rsidP="00FA33E8">
            <w:pPr>
              <w:rPr>
                <w:b/>
                <w:bCs/>
                <w:sz w:val="24"/>
                <w:szCs w:val="24"/>
              </w:rPr>
            </w:pPr>
            <w:r w:rsidRPr="00FA33E8">
              <w:rPr>
                <w:b/>
                <w:bCs/>
                <w:sz w:val="24"/>
                <w:szCs w:val="24"/>
              </w:rPr>
              <w:t>Date/Length</w:t>
            </w:r>
          </w:p>
        </w:tc>
        <w:tc>
          <w:tcPr>
            <w:tcW w:w="2379" w:type="dxa"/>
          </w:tcPr>
          <w:p w14:paraId="50ADE549" w14:textId="77777777" w:rsidR="00BF4A37" w:rsidRPr="00FA33E8" w:rsidRDefault="001445E8" w:rsidP="00FA33E8">
            <w:pPr>
              <w:rPr>
                <w:b/>
                <w:bCs/>
                <w:sz w:val="24"/>
                <w:szCs w:val="24"/>
              </w:rPr>
            </w:pPr>
            <w:r w:rsidRPr="00FA33E8">
              <w:rPr>
                <w:b/>
                <w:bCs/>
                <w:sz w:val="24"/>
                <w:szCs w:val="24"/>
              </w:rPr>
              <w:t>Topic</w:t>
            </w:r>
          </w:p>
        </w:tc>
        <w:tc>
          <w:tcPr>
            <w:tcW w:w="1872" w:type="dxa"/>
          </w:tcPr>
          <w:p w14:paraId="3A41F5BD" w14:textId="77777777" w:rsidR="00BF4A37" w:rsidRPr="00FA33E8" w:rsidRDefault="001445E8" w:rsidP="00FA33E8">
            <w:pPr>
              <w:rPr>
                <w:b/>
                <w:bCs/>
                <w:sz w:val="24"/>
                <w:szCs w:val="24"/>
              </w:rPr>
            </w:pPr>
            <w:r w:rsidRPr="00FA33E8">
              <w:rPr>
                <w:b/>
                <w:bCs/>
                <w:sz w:val="24"/>
                <w:szCs w:val="24"/>
              </w:rPr>
              <w:t>Instructor(s)</w:t>
            </w:r>
          </w:p>
        </w:tc>
        <w:tc>
          <w:tcPr>
            <w:tcW w:w="1493" w:type="dxa"/>
          </w:tcPr>
          <w:p w14:paraId="0F7D33CC" w14:textId="77777777" w:rsidR="00BF4A37" w:rsidRPr="00FA33E8" w:rsidRDefault="001445E8" w:rsidP="00FA33E8">
            <w:pPr>
              <w:rPr>
                <w:b/>
                <w:bCs/>
                <w:sz w:val="24"/>
                <w:szCs w:val="24"/>
              </w:rPr>
            </w:pPr>
            <w:r w:rsidRPr="00FA33E8">
              <w:rPr>
                <w:b/>
                <w:bCs/>
                <w:sz w:val="24"/>
                <w:szCs w:val="24"/>
              </w:rPr>
              <w:t>Location</w:t>
            </w:r>
          </w:p>
        </w:tc>
      </w:tr>
      <w:tr w:rsidR="00BF4A37" w14:paraId="1A23C8F2" w14:textId="77777777" w:rsidTr="00FA33E8">
        <w:tc>
          <w:tcPr>
            <w:tcW w:w="1823" w:type="dxa"/>
          </w:tcPr>
          <w:p w14:paraId="0B4F8531" w14:textId="77777777" w:rsidR="00BF4A37" w:rsidRDefault="001445E8" w:rsidP="00CA1082">
            <w:pPr>
              <w:ind w:left="158" w:hanging="158"/>
            </w:pPr>
            <w:r>
              <w:t xml:space="preserve">Lecture 1 </w:t>
            </w:r>
          </w:p>
        </w:tc>
        <w:tc>
          <w:tcPr>
            <w:tcW w:w="1873" w:type="dxa"/>
          </w:tcPr>
          <w:p w14:paraId="04B57023" w14:textId="77777777" w:rsidR="00BF4A37" w:rsidRDefault="001445E8" w:rsidP="00CA1082">
            <w:pPr>
              <w:ind w:left="158" w:hanging="158"/>
            </w:pPr>
            <w:r>
              <w:t>Jan. 20</w:t>
            </w:r>
          </w:p>
        </w:tc>
        <w:tc>
          <w:tcPr>
            <w:tcW w:w="2379" w:type="dxa"/>
          </w:tcPr>
          <w:p w14:paraId="3F9B9F32" w14:textId="77777777" w:rsidR="00BF4A37" w:rsidRDefault="001445E8" w:rsidP="00CA1082">
            <w:pPr>
              <w:ind w:left="158" w:hanging="158"/>
            </w:pPr>
            <w:r>
              <w:t>Review syllabus</w:t>
            </w:r>
          </w:p>
          <w:p w14:paraId="503708A5" w14:textId="77777777" w:rsidR="00BF4A37" w:rsidRDefault="001445E8" w:rsidP="00CA1082">
            <w:pPr>
              <w:ind w:left="158" w:hanging="158"/>
            </w:pPr>
            <w:r>
              <w:t>Introduction to physical exam</w:t>
            </w:r>
          </w:p>
        </w:tc>
        <w:tc>
          <w:tcPr>
            <w:tcW w:w="1872" w:type="dxa"/>
          </w:tcPr>
          <w:p w14:paraId="6A5386B8" w14:textId="7AD94EE6" w:rsidR="00BF4A37" w:rsidRDefault="00CA1082" w:rsidP="00CA1082">
            <w:pPr>
              <w:ind w:left="158" w:hanging="158"/>
            </w:pPr>
            <w:r>
              <w:t>Sommardahl</w:t>
            </w:r>
          </w:p>
        </w:tc>
        <w:tc>
          <w:tcPr>
            <w:tcW w:w="1493" w:type="dxa"/>
          </w:tcPr>
          <w:p w14:paraId="21642673" w14:textId="343896D9" w:rsidR="00BF4A37" w:rsidRDefault="009F6D5D" w:rsidP="00CA1082">
            <w:pPr>
              <w:ind w:left="158" w:hanging="158"/>
            </w:pPr>
            <w:r>
              <w:t>ANR 102</w:t>
            </w:r>
          </w:p>
        </w:tc>
      </w:tr>
      <w:tr w:rsidR="00BF4A37" w14:paraId="627F6BB0" w14:textId="77777777" w:rsidTr="00B1058B">
        <w:tc>
          <w:tcPr>
            <w:tcW w:w="1823" w:type="dxa"/>
          </w:tcPr>
          <w:p w14:paraId="69E0A41C" w14:textId="77777777" w:rsidR="00BF4A37" w:rsidRPr="00B1058B" w:rsidRDefault="001445E8" w:rsidP="00CA1082">
            <w:pPr>
              <w:ind w:left="158" w:hanging="158"/>
              <w:rPr>
                <w:b/>
                <w:bCs/>
              </w:rPr>
            </w:pPr>
            <w:r w:rsidRPr="00B1058B">
              <w:rPr>
                <w:b/>
                <w:bCs/>
              </w:rPr>
              <w:t>Lab 1</w:t>
            </w:r>
          </w:p>
        </w:tc>
        <w:tc>
          <w:tcPr>
            <w:tcW w:w="1873" w:type="dxa"/>
          </w:tcPr>
          <w:p w14:paraId="6A04A8DA" w14:textId="77777777" w:rsidR="00BF4A37" w:rsidRPr="00B1058B" w:rsidRDefault="001445E8" w:rsidP="00CA1082">
            <w:pPr>
              <w:ind w:left="158" w:hanging="158"/>
              <w:rPr>
                <w:b/>
                <w:bCs/>
              </w:rPr>
            </w:pPr>
            <w:r w:rsidRPr="00B1058B">
              <w:rPr>
                <w:b/>
                <w:bCs/>
              </w:rPr>
              <w:t xml:space="preserve">Jan. 22/2 </w:t>
            </w:r>
            <w:proofErr w:type="spellStart"/>
            <w:r w:rsidRPr="00B1058B">
              <w:rPr>
                <w:b/>
                <w:bCs/>
              </w:rPr>
              <w:t>hrs</w:t>
            </w:r>
            <w:proofErr w:type="spellEnd"/>
          </w:p>
        </w:tc>
        <w:tc>
          <w:tcPr>
            <w:tcW w:w="2379" w:type="dxa"/>
          </w:tcPr>
          <w:p w14:paraId="4FCE9580" w14:textId="77777777" w:rsidR="00BF4A37" w:rsidRPr="00B1058B" w:rsidRDefault="001445E8" w:rsidP="00CA1082">
            <w:pPr>
              <w:ind w:left="158" w:hanging="158"/>
              <w:rPr>
                <w:b/>
                <w:bCs/>
              </w:rPr>
            </w:pPr>
            <w:r w:rsidRPr="00B1058B">
              <w:rPr>
                <w:b/>
                <w:bCs/>
              </w:rPr>
              <w:t>Small animal physical exam</w:t>
            </w:r>
          </w:p>
        </w:tc>
        <w:tc>
          <w:tcPr>
            <w:tcW w:w="1872" w:type="dxa"/>
          </w:tcPr>
          <w:p w14:paraId="434A3554" w14:textId="48687783" w:rsidR="00BF4A37" w:rsidRPr="00B1058B" w:rsidRDefault="00CA1082" w:rsidP="00CA1082">
            <w:pPr>
              <w:ind w:left="158" w:hanging="158"/>
              <w:rPr>
                <w:b/>
                <w:bCs/>
              </w:rPr>
            </w:pPr>
            <w:r w:rsidRPr="00B1058B">
              <w:rPr>
                <w:b/>
                <w:bCs/>
              </w:rPr>
              <w:t>Anderson</w:t>
            </w:r>
            <w:r w:rsidR="001445E8" w:rsidRPr="00B1058B">
              <w:rPr>
                <w:b/>
                <w:bCs/>
              </w:rPr>
              <w:t xml:space="preserve">, </w:t>
            </w:r>
            <w:r w:rsidRPr="00B1058B">
              <w:rPr>
                <w:b/>
                <w:bCs/>
              </w:rPr>
              <w:t>Ng</w:t>
            </w:r>
          </w:p>
        </w:tc>
        <w:tc>
          <w:tcPr>
            <w:tcW w:w="1493" w:type="dxa"/>
          </w:tcPr>
          <w:p w14:paraId="10ECAB97" w14:textId="58FA6A50" w:rsidR="00BF4A37" w:rsidRPr="00B1058B" w:rsidRDefault="001445E8" w:rsidP="00CA1082">
            <w:pPr>
              <w:ind w:left="158" w:hanging="158"/>
              <w:rPr>
                <w:b/>
                <w:bCs/>
              </w:rPr>
            </w:pPr>
            <w:r w:rsidRPr="00B1058B">
              <w:rPr>
                <w:b/>
                <w:bCs/>
              </w:rPr>
              <w:t>JRTU</w:t>
            </w:r>
          </w:p>
        </w:tc>
      </w:tr>
      <w:tr w:rsidR="00BF4A37" w14:paraId="74DECBCA" w14:textId="77777777" w:rsidTr="00B1058B">
        <w:tc>
          <w:tcPr>
            <w:tcW w:w="1823" w:type="dxa"/>
          </w:tcPr>
          <w:p w14:paraId="4D5322BE" w14:textId="77777777" w:rsidR="00BF4A37" w:rsidRPr="00B1058B" w:rsidRDefault="001445E8" w:rsidP="00CA1082">
            <w:pPr>
              <w:ind w:left="158" w:hanging="158"/>
              <w:rPr>
                <w:b/>
                <w:bCs/>
              </w:rPr>
            </w:pPr>
            <w:r w:rsidRPr="00B1058B">
              <w:rPr>
                <w:b/>
                <w:bCs/>
              </w:rPr>
              <w:t>Exam 1</w:t>
            </w:r>
          </w:p>
        </w:tc>
        <w:tc>
          <w:tcPr>
            <w:tcW w:w="1873" w:type="dxa"/>
          </w:tcPr>
          <w:p w14:paraId="0968AAC5" w14:textId="77777777" w:rsidR="00BF4A37" w:rsidRPr="00B1058B" w:rsidRDefault="001445E8" w:rsidP="00CA1082">
            <w:pPr>
              <w:ind w:left="158" w:hanging="158"/>
              <w:rPr>
                <w:b/>
                <w:bCs/>
              </w:rPr>
            </w:pPr>
            <w:r w:rsidRPr="00B1058B">
              <w:rPr>
                <w:b/>
                <w:bCs/>
              </w:rPr>
              <w:t>Jan. 29</w:t>
            </w:r>
          </w:p>
        </w:tc>
        <w:tc>
          <w:tcPr>
            <w:tcW w:w="2379" w:type="dxa"/>
          </w:tcPr>
          <w:p w14:paraId="0F6BEF95" w14:textId="77777777" w:rsidR="00BF4A37" w:rsidRPr="00B1058B" w:rsidRDefault="001445E8" w:rsidP="00CA1082">
            <w:pPr>
              <w:ind w:left="158" w:hanging="158"/>
              <w:rPr>
                <w:b/>
                <w:bCs/>
              </w:rPr>
            </w:pPr>
            <w:r w:rsidRPr="00B1058B">
              <w:rPr>
                <w:b/>
                <w:bCs/>
              </w:rPr>
              <w:t>Physical exam</w:t>
            </w:r>
          </w:p>
        </w:tc>
        <w:tc>
          <w:tcPr>
            <w:tcW w:w="1872" w:type="dxa"/>
          </w:tcPr>
          <w:p w14:paraId="3AD2DA75" w14:textId="77777777" w:rsidR="00BF4A37" w:rsidRPr="00B1058B" w:rsidRDefault="001445E8" w:rsidP="00CA1082">
            <w:pPr>
              <w:ind w:left="158" w:hanging="158"/>
              <w:rPr>
                <w:b/>
                <w:bCs/>
              </w:rPr>
            </w:pPr>
            <w:r w:rsidRPr="00B1058B">
              <w:rPr>
                <w:b/>
                <w:bCs/>
              </w:rPr>
              <w:t>-</w:t>
            </w:r>
          </w:p>
        </w:tc>
        <w:tc>
          <w:tcPr>
            <w:tcW w:w="1493" w:type="dxa"/>
          </w:tcPr>
          <w:p w14:paraId="46137E3D" w14:textId="44917663" w:rsidR="00BF4A37" w:rsidRPr="00B1058B" w:rsidRDefault="009F6D5D" w:rsidP="00CA1082">
            <w:pPr>
              <w:ind w:left="158" w:hanging="158"/>
              <w:rPr>
                <w:b/>
                <w:bCs/>
              </w:rPr>
            </w:pPr>
            <w:r w:rsidRPr="00B1058B">
              <w:rPr>
                <w:b/>
                <w:bCs/>
              </w:rPr>
              <w:t>TLC 101</w:t>
            </w:r>
          </w:p>
        </w:tc>
      </w:tr>
      <w:tr w:rsidR="00BF4A37" w14:paraId="7683EB0B" w14:textId="77777777" w:rsidTr="00FA33E8">
        <w:tc>
          <w:tcPr>
            <w:tcW w:w="1823" w:type="dxa"/>
            <w:shd w:val="clear" w:color="auto" w:fill="FFFFFF"/>
          </w:tcPr>
          <w:p w14:paraId="223CF839" w14:textId="77777777" w:rsidR="00BF4A37" w:rsidRDefault="001445E8" w:rsidP="00CA1082">
            <w:pPr>
              <w:ind w:left="158" w:hanging="158"/>
            </w:pPr>
            <w:r>
              <w:t>Lecture 2</w:t>
            </w:r>
          </w:p>
        </w:tc>
        <w:tc>
          <w:tcPr>
            <w:tcW w:w="1873" w:type="dxa"/>
            <w:shd w:val="clear" w:color="auto" w:fill="FFFFFF"/>
          </w:tcPr>
          <w:p w14:paraId="180B75A8" w14:textId="77777777" w:rsidR="00BF4A37" w:rsidRDefault="001445E8" w:rsidP="00CA1082">
            <w:pPr>
              <w:ind w:left="158" w:hanging="158"/>
            </w:pPr>
            <w:r>
              <w:t>Feb. 4</w:t>
            </w:r>
          </w:p>
        </w:tc>
        <w:tc>
          <w:tcPr>
            <w:tcW w:w="2379" w:type="dxa"/>
            <w:shd w:val="clear" w:color="auto" w:fill="FFFFFF"/>
          </w:tcPr>
          <w:p w14:paraId="0AAD646F" w14:textId="77777777" w:rsidR="00BF4A37" w:rsidRDefault="001445E8" w:rsidP="00CA1082">
            <w:pPr>
              <w:ind w:left="158" w:hanging="158"/>
            </w:pPr>
            <w:r>
              <w:t>Swine management</w:t>
            </w:r>
          </w:p>
        </w:tc>
        <w:tc>
          <w:tcPr>
            <w:tcW w:w="1872" w:type="dxa"/>
            <w:shd w:val="clear" w:color="auto" w:fill="FFFFFF"/>
          </w:tcPr>
          <w:p w14:paraId="38F2A4DB" w14:textId="6A529B9F" w:rsidR="00BF4A37" w:rsidRDefault="00CA1082" w:rsidP="00CA1082">
            <w:pPr>
              <w:ind w:left="158" w:hanging="158"/>
            </w:pPr>
            <w:r>
              <w:t>Hampton</w:t>
            </w:r>
          </w:p>
        </w:tc>
        <w:tc>
          <w:tcPr>
            <w:tcW w:w="1493" w:type="dxa"/>
            <w:shd w:val="clear" w:color="auto" w:fill="FFFFFF"/>
          </w:tcPr>
          <w:p w14:paraId="4FAB37AE" w14:textId="095FDC68" w:rsidR="00BF4A37" w:rsidRDefault="009F6D5D" w:rsidP="00CA1082">
            <w:pPr>
              <w:ind w:left="158" w:hanging="158"/>
            </w:pPr>
            <w:r>
              <w:t>ANR 102</w:t>
            </w:r>
          </w:p>
        </w:tc>
      </w:tr>
      <w:tr w:rsidR="00BF4A37" w14:paraId="1E7FF66F" w14:textId="77777777" w:rsidTr="00FA33E8">
        <w:tc>
          <w:tcPr>
            <w:tcW w:w="1823" w:type="dxa"/>
            <w:shd w:val="clear" w:color="auto" w:fill="FFFFFF"/>
          </w:tcPr>
          <w:p w14:paraId="3DDD0739" w14:textId="77777777" w:rsidR="00BF4A37" w:rsidRDefault="001445E8" w:rsidP="00CA1082">
            <w:pPr>
              <w:ind w:left="158" w:hanging="158"/>
            </w:pPr>
            <w:r>
              <w:t>Lecture 3</w:t>
            </w:r>
          </w:p>
        </w:tc>
        <w:tc>
          <w:tcPr>
            <w:tcW w:w="1873" w:type="dxa"/>
            <w:shd w:val="clear" w:color="auto" w:fill="FFFFFF"/>
          </w:tcPr>
          <w:p w14:paraId="636AE3DB" w14:textId="77777777" w:rsidR="00BF4A37" w:rsidRDefault="001445E8" w:rsidP="00CA1082">
            <w:pPr>
              <w:ind w:left="158" w:hanging="158"/>
            </w:pPr>
            <w:r>
              <w:t>Feb. 14</w:t>
            </w:r>
          </w:p>
        </w:tc>
        <w:tc>
          <w:tcPr>
            <w:tcW w:w="2379" w:type="dxa"/>
            <w:shd w:val="clear" w:color="auto" w:fill="FFFFFF"/>
          </w:tcPr>
          <w:p w14:paraId="16B433B5" w14:textId="77777777" w:rsidR="00BF4A37" w:rsidRDefault="001445E8" w:rsidP="00CA1082">
            <w:pPr>
              <w:ind w:left="158" w:hanging="158"/>
            </w:pPr>
            <w:r>
              <w:t>Clinical pathology</w:t>
            </w:r>
          </w:p>
        </w:tc>
        <w:tc>
          <w:tcPr>
            <w:tcW w:w="1872" w:type="dxa"/>
            <w:shd w:val="clear" w:color="auto" w:fill="FFFFFF"/>
          </w:tcPr>
          <w:p w14:paraId="1A3076DB" w14:textId="64A31802" w:rsidR="00BF4A37" w:rsidRDefault="00CA1082" w:rsidP="00CA1082">
            <w:pPr>
              <w:ind w:left="158" w:hanging="158"/>
            </w:pPr>
            <w:r>
              <w:t>Schaefer</w:t>
            </w:r>
          </w:p>
        </w:tc>
        <w:tc>
          <w:tcPr>
            <w:tcW w:w="1493" w:type="dxa"/>
            <w:shd w:val="clear" w:color="auto" w:fill="FFFFFF"/>
          </w:tcPr>
          <w:p w14:paraId="504C69B4" w14:textId="692F5C72" w:rsidR="00BF4A37" w:rsidRDefault="009F6D5D" w:rsidP="00CA1082">
            <w:pPr>
              <w:ind w:left="158" w:hanging="158"/>
            </w:pPr>
            <w:r>
              <w:t>ANR 102</w:t>
            </w:r>
          </w:p>
        </w:tc>
      </w:tr>
    </w:tbl>
    <w:p w14:paraId="2E1DC436" w14:textId="77777777" w:rsidR="00BF4A37" w:rsidRDefault="00BF4A37">
      <w:pPr>
        <w:spacing w:after="0" w:line="240" w:lineRule="auto"/>
        <w:rPr>
          <w:rFonts w:ascii="Times New Roman" w:eastAsia="Times New Roman" w:hAnsi="Times New Roman" w:cs="Times New Roman"/>
        </w:rPr>
      </w:pPr>
    </w:p>
    <w:p w14:paraId="2CEDA2FC" w14:textId="77777777" w:rsidR="00A34222" w:rsidRDefault="00A34222" w:rsidP="00FA33E8">
      <w:pPr>
        <w:rPr>
          <w:b/>
          <w:bCs/>
        </w:rPr>
      </w:pPr>
    </w:p>
    <w:p w14:paraId="139672AD" w14:textId="77777777" w:rsidR="00A34222" w:rsidRDefault="00A34222" w:rsidP="00FA33E8">
      <w:pPr>
        <w:rPr>
          <w:b/>
          <w:bCs/>
        </w:rPr>
      </w:pPr>
    </w:p>
    <w:p w14:paraId="46FD14D2" w14:textId="33926E19" w:rsidR="00BF4A37" w:rsidRPr="00FA33E8" w:rsidRDefault="001445E8" w:rsidP="00FA33E8">
      <w:pPr>
        <w:rPr>
          <w:b/>
          <w:bCs/>
        </w:rPr>
      </w:pPr>
      <w:r w:rsidRPr="00FA33E8">
        <w:rPr>
          <w:b/>
          <w:bCs/>
        </w:rPr>
        <w:t xml:space="preserve">The course coordinator reserves the right to revise, alter, or amend this syllabus as necessary. Students will be notified </w:t>
      </w:r>
      <w:proofErr w:type="gramStart"/>
      <w:r w:rsidRPr="00FA33E8">
        <w:rPr>
          <w:b/>
          <w:bCs/>
        </w:rPr>
        <w:t>in</w:t>
      </w:r>
      <w:proofErr w:type="gramEnd"/>
      <w:r w:rsidRPr="00FA33E8">
        <w:rPr>
          <w:b/>
          <w:bCs/>
        </w:rPr>
        <w:t xml:space="preserve"> writing / email of any such changes. </w:t>
      </w:r>
    </w:p>
    <w:sectPr w:rsidR="00BF4A37" w:rsidRPr="00FA33E8">
      <w:headerReference w:type="even" r:id="rId21"/>
      <w:headerReference w:type="default" r:id="rId22"/>
      <w:footerReference w:type="even" r:id="rId23"/>
      <w:footerReference w:type="default" r:id="rId24"/>
      <w:headerReference w:type="first" r:id="rId25"/>
      <w:pgSz w:w="12240" w:h="15840"/>
      <w:pgMar w:top="1080" w:right="108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5DE6" w14:textId="77777777" w:rsidR="000F2237" w:rsidRDefault="000F2237">
      <w:pPr>
        <w:spacing w:after="0" w:line="240" w:lineRule="auto"/>
      </w:pPr>
      <w:r>
        <w:separator/>
      </w:r>
    </w:p>
  </w:endnote>
  <w:endnote w:type="continuationSeparator" w:id="0">
    <w:p w14:paraId="7F011BF1" w14:textId="77777777" w:rsidR="000F2237" w:rsidRDefault="000F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Times New Roman"/>
    <w:charset w:val="00"/>
    <w:family w:val="auto"/>
    <w:pitch w:val="variable"/>
    <w:sig w:usb0="2000020F" w:usb1="00000003" w:usb2="00000000" w:usb3="00000000" w:csb0="00000197" w:csb1="00000000"/>
  </w:font>
  <w:font w:name="Gungsuh">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8404" w14:textId="77777777" w:rsidR="00BF4A37" w:rsidRDefault="001445E8">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189510A" w14:textId="77777777" w:rsidR="00BF4A37" w:rsidRDefault="00BF4A37">
    <w:pPr>
      <w:pBdr>
        <w:top w:val="nil"/>
        <w:left w:val="nil"/>
        <w:bottom w:val="nil"/>
        <w:right w:val="nil"/>
        <w:between w:val="nil"/>
      </w:pBdr>
      <w:tabs>
        <w:tab w:val="center" w:pos="4320"/>
        <w:tab w:val="right" w:pos="864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2C3B" w14:textId="3D3E60A9" w:rsidR="00BF4A37" w:rsidRDefault="001445E8">
    <w:pPr>
      <w:pBdr>
        <w:top w:val="nil"/>
        <w:left w:val="nil"/>
        <w:bottom w:val="nil"/>
        <w:right w:val="nil"/>
        <w:between w:val="nil"/>
      </w:pBdr>
      <w:tabs>
        <w:tab w:val="center" w:pos="4320"/>
        <w:tab w:val="right" w:pos="864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D6C68">
      <w:rPr>
        <w:noProof/>
        <w:color w:val="000000"/>
      </w:rPr>
      <w:t>6</w:t>
    </w:r>
    <w:r>
      <w:rPr>
        <w:color w:val="000000"/>
      </w:rPr>
      <w:fldChar w:fldCharType="end"/>
    </w:r>
  </w:p>
  <w:p w14:paraId="19D6CBD9" w14:textId="3D383F1E" w:rsidR="00BF4A37" w:rsidRDefault="001445E8">
    <w:pPr>
      <w:pBdr>
        <w:top w:val="nil"/>
        <w:left w:val="nil"/>
        <w:bottom w:val="nil"/>
        <w:right w:val="nil"/>
        <w:between w:val="nil"/>
      </w:pBdr>
      <w:tabs>
        <w:tab w:val="center" w:pos="4320"/>
        <w:tab w:val="right" w:pos="8640"/>
      </w:tabs>
      <w:spacing w:after="0" w:line="240" w:lineRule="auto"/>
      <w:ind w:right="360"/>
      <w:rPr>
        <w:color w:val="000000"/>
      </w:rPr>
    </w:pPr>
    <w:r>
      <w:rPr>
        <w:color w:val="000000"/>
      </w:rPr>
      <w:tab/>
    </w:r>
    <w:r>
      <w:rPr>
        <w:color w:val="000000"/>
      </w:rPr>
      <w:tab/>
      <w:t xml:space="preserve">Updated </w:t>
    </w:r>
    <w:r w:rsidR="00721716">
      <w:rPr>
        <w:color w:val="000000"/>
      </w:rPr>
      <w:t>7</w:t>
    </w:r>
    <w:r>
      <w:rPr>
        <w:color w:val="000000"/>
      </w:rPr>
      <w:t>/</w:t>
    </w:r>
    <w:r w:rsidR="00721716">
      <w:rPr>
        <w:color w:val="000000"/>
      </w:rPr>
      <w:t>1</w:t>
    </w:r>
    <w:r>
      <w:rPr>
        <w:color w:val="000000"/>
      </w:rPr>
      <w:t>/202</w:t>
    </w:r>
    <w:r w:rsidR="00862AD7">
      <w:rPr>
        <w:color w:val="00000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2FF5" w14:textId="77777777" w:rsidR="000F2237" w:rsidRDefault="000F2237">
      <w:pPr>
        <w:spacing w:after="0" w:line="240" w:lineRule="auto"/>
      </w:pPr>
      <w:r>
        <w:separator/>
      </w:r>
    </w:p>
  </w:footnote>
  <w:footnote w:type="continuationSeparator" w:id="0">
    <w:p w14:paraId="75741D91" w14:textId="77777777" w:rsidR="000F2237" w:rsidRDefault="000F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FADB" w14:textId="2CB4B6A1" w:rsidR="00BF4A37" w:rsidRDefault="00BF4A37">
    <w:pPr>
      <w:pBdr>
        <w:top w:val="nil"/>
        <w:left w:val="nil"/>
        <w:bottom w:val="nil"/>
        <w:right w:val="nil"/>
        <w:between w:val="nil"/>
      </w:pBdr>
      <w:tabs>
        <w:tab w:val="center" w:pos="4320"/>
        <w:tab w:val="right" w:pos="864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977E" w14:textId="2BCEFB55" w:rsidR="00BF4A37" w:rsidRDefault="00BF4A37">
    <w:pPr>
      <w:pBdr>
        <w:top w:val="nil"/>
        <w:left w:val="nil"/>
        <w:bottom w:val="nil"/>
        <w:right w:val="nil"/>
        <w:between w:val="nil"/>
      </w:pBdr>
      <w:tabs>
        <w:tab w:val="center" w:pos="4320"/>
        <w:tab w:val="right" w:pos="864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0A3B" w14:textId="3CD40446" w:rsidR="00BF4A37" w:rsidRDefault="00BF4A37">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A09"/>
    <w:multiLevelType w:val="multilevel"/>
    <w:tmpl w:val="B300A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FE1407"/>
    <w:multiLevelType w:val="multilevel"/>
    <w:tmpl w:val="F8A09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704419"/>
    <w:multiLevelType w:val="multilevel"/>
    <w:tmpl w:val="CCCA0C7E"/>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BC548E"/>
    <w:multiLevelType w:val="multilevel"/>
    <w:tmpl w:val="2694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041DE1"/>
    <w:multiLevelType w:val="multilevel"/>
    <w:tmpl w:val="D59AFA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997459786">
    <w:abstractNumId w:val="2"/>
  </w:num>
  <w:num w:numId="2" w16cid:durableId="1040939471">
    <w:abstractNumId w:val="4"/>
  </w:num>
  <w:num w:numId="3" w16cid:durableId="1224440621">
    <w:abstractNumId w:val="3"/>
  </w:num>
  <w:num w:numId="4" w16cid:durableId="243078058">
    <w:abstractNumId w:val="0"/>
  </w:num>
  <w:num w:numId="5" w16cid:durableId="107308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A37"/>
    <w:rsid w:val="000A09D4"/>
    <w:rsid w:val="000C072B"/>
    <w:rsid w:val="000E32CE"/>
    <w:rsid w:val="000F2237"/>
    <w:rsid w:val="001020DE"/>
    <w:rsid w:val="001445E8"/>
    <w:rsid w:val="00161B33"/>
    <w:rsid w:val="001B0F9E"/>
    <w:rsid w:val="00236001"/>
    <w:rsid w:val="002A7B36"/>
    <w:rsid w:val="002C45FE"/>
    <w:rsid w:val="00306B16"/>
    <w:rsid w:val="00383C28"/>
    <w:rsid w:val="003E3FA7"/>
    <w:rsid w:val="00413DA3"/>
    <w:rsid w:val="00465782"/>
    <w:rsid w:val="004B2011"/>
    <w:rsid w:val="005241F9"/>
    <w:rsid w:val="00526489"/>
    <w:rsid w:val="0060676B"/>
    <w:rsid w:val="0061111A"/>
    <w:rsid w:val="00634794"/>
    <w:rsid w:val="006710F3"/>
    <w:rsid w:val="00673FAE"/>
    <w:rsid w:val="006814F6"/>
    <w:rsid w:val="006E392A"/>
    <w:rsid w:val="006F0034"/>
    <w:rsid w:val="006F582C"/>
    <w:rsid w:val="00721716"/>
    <w:rsid w:val="0076499B"/>
    <w:rsid w:val="00791FD7"/>
    <w:rsid w:val="007C2A4D"/>
    <w:rsid w:val="007F3723"/>
    <w:rsid w:val="00862AD7"/>
    <w:rsid w:val="00863572"/>
    <w:rsid w:val="00867A9A"/>
    <w:rsid w:val="0087765F"/>
    <w:rsid w:val="008B30D2"/>
    <w:rsid w:val="008B60A2"/>
    <w:rsid w:val="008E6E80"/>
    <w:rsid w:val="008F19C5"/>
    <w:rsid w:val="008F33F8"/>
    <w:rsid w:val="00945378"/>
    <w:rsid w:val="009A2AD3"/>
    <w:rsid w:val="009F6D5D"/>
    <w:rsid w:val="00A34222"/>
    <w:rsid w:val="00A52C1E"/>
    <w:rsid w:val="00A702B9"/>
    <w:rsid w:val="00A960E0"/>
    <w:rsid w:val="00AA638D"/>
    <w:rsid w:val="00AA7590"/>
    <w:rsid w:val="00AC1EB2"/>
    <w:rsid w:val="00B1058B"/>
    <w:rsid w:val="00B3009F"/>
    <w:rsid w:val="00B32AE6"/>
    <w:rsid w:val="00BB30BE"/>
    <w:rsid w:val="00BB639C"/>
    <w:rsid w:val="00BF4A37"/>
    <w:rsid w:val="00C0278B"/>
    <w:rsid w:val="00C16E9D"/>
    <w:rsid w:val="00C16EAF"/>
    <w:rsid w:val="00C5073A"/>
    <w:rsid w:val="00C56A57"/>
    <w:rsid w:val="00C75C04"/>
    <w:rsid w:val="00C7657F"/>
    <w:rsid w:val="00C87736"/>
    <w:rsid w:val="00CA1082"/>
    <w:rsid w:val="00D32BD8"/>
    <w:rsid w:val="00D54CAC"/>
    <w:rsid w:val="00DD6C68"/>
    <w:rsid w:val="00DE0FFE"/>
    <w:rsid w:val="00E935D6"/>
    <w:rsid w:val="00EE4358"/>
    <w:rsid w:val="00F24621"/>
    <w:rsid w:val="00F650E8"/>
    <w:rsid w:val="00FA33E8"/>
    <w:rsid w:val="00FB4DD0"/>
    <w:rsid w:val="00FD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4A841"/>
  <w15:docId w15:val="{8727A63E-D796-4B59-980E-98C12436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line="240" w:lineRule="auto"/>
      <w:jc w:val="center"/>
      <w:outlineLvl w:val="0"/>
    </w:pPr>
    <w:rPr>
      <w:b/>
      <w:color w:val="000000"/>
      <w:sz w:val="32"/>
      <w:szCs w:val="32"/>
    </w:rPr>
  </w:style>
  <w:style w:type="paragraph" w:styleId="Heading2">
    <w:name w:val="heading 2"/>
    <w:basedOn w:val="Normal"/>
    <w:next w:val="Normal"/>
    <w:pPr>
      <w:keepNext/>
      <w:keepLines/>
      <w:spacing w:after="0" w:line="240" w:lineRule="auto"/>
      <w:outlineLvl w:val="1"/>
    </w:pPr>
    <w:rPr>
      <w:rFonts w:ascii="Times New Roman" w:eastAsia="Times New Roman" w:hAnsi="Times New Roman" w:cs="Times New Roman"/>
      <w:b/>
      <w:color w:val="000000"/>
      <w:sz w:val="28"/>
      <w:szCs w:val="28"/>
    </w:rPr>
  </w:style>
  <w:style w:type="paragraph" w:styleId="Heading3">
    <w:name w:val="heading 3"/>
    <w:basedOn w:val="Normal"/>
    <w:next w:val="Normal"/>
    <w:pPr>
      <w:keepNext/>
      <w:keepLines/>
      <w:spacing w:before="200" w:after="0"/>
      <w:ind w:left="360"/>
      <w:outlineLvl w:val="2"/>
    </w:pPr>
    <w:rPr>
      <w:b/>
      <w:color w:val="000000"/>
      <w:sz w:val="22"/>
      <w:szCs w:val="22"/>
    </w:rPr>
  </w:style>
  <w:style w:type="paragraph" w:styleId="Heading4">
    <w:name w:val="heading 4"/>
    <w:basedOn w:val="Heading5"/>
    <w:next w:val="Normal"/>
    <w:rsid w:val="00FA33E8"/>
    <w:pPr>
      <w:ind w:firstLine="360"/>
      <w:outlineLvl w:val="3"/>
    </w:pPr>
  </w:style>
  <w:style w:type="paragraph" w:styleId="Heading5">
    <w:name w:val="heading 5"/>
    <w:basedOn w:val="Normal"/>
    <w:next w:val="Normal"/>
    <w:pPr>
      <w:keepNext/>
      <w:keepLines/>
      <w:pBdr>
        <w:bottom w:val="single" w:sz="4" w:space="1" w:color="000000"/>
      </w:pBdr>
      <w:spacing w:before="200" w:after="0"/>
      <w:ind w:left="360"/>
      <w:outlineLvl w:val="4"/>
    </w:pPr>
    <w:rPr>
      <w:color w:val="3B3B34"/>
    </w:rPr>
  </w:style>
  <w:style w:type="paragraph" w:styleId="Heading6">
    <w:name w:val="heading 6"/>
    <w:basedOn w:val="Normal"/>
    <w:next w:val="Normal"/>
    <w:pPr>
      <w:keepNext/>
      <w:keepLines/>
      <w:spacing w:before="200" w:after="0"/>
      <w:outlineLvl w:val="5"/>
    </w:pPr>
    <w:rPr>
      <w:i/>
      <w:color w:val="3B3B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E84C22"/>
      </w:pBdr>
      <w:spacing w:after="300" w:line="240" w:lineRule="auto"/>
    </w:pPr>
    <w:rPr>
      <w:rFonts w:ascii="Times New Roman" w:eastAsia="Times New Roman" w:hAnsi="Times New Roman" w:cs="Times New Roman"/>
      <w:color w:val="3B3B34"/>
      <w:sz w:val="52"/>
      <w:szCs w:val="52"/>
    </w:rPr>
  </w:style>
  <w:style w:type="paragraph" w:styleId="Subtitle">
    <w:name w:val="Subtitle"/>
    <w:basedOn w:val="Normal"/>
    <w:next w:val="Normal"/>
    <w:rPr>
      <w:rFonts w:ascii="Times New Roman" w:eastAsia="Times New Roman" w:hAnsi="Times New Roman" w:cs="Times New Roman"/>
      <w:i/>
      <w:color w:val="E84C22"/>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83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C28"/>
    <w:rPr>
      <w:rFonts w:ascii="Segoe UI" w:hAnsi="Segoe UI" w:cs="Segoe UI"/>
      <w:sz w:val="18"/>
      <w:szCs w:val="18"/>
    </w:rPr>
  </w:style>
  <w:style w:type="paragraph" w:styleId="Footer">
    <w:name w:val="footer"/>
    <w:basedOn w:val="Normal"/>
    <w:link w:val="FooterChar"/>
    <w:uiPriority w:val="99"/>
    <w:unhideWhenUsed/>
    <w:rsid w:val="00CA1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082"/>
  </w:style>
  <w:style w:type="character" w:styleId="Hyperlink">
    <w:name w:val="Hyperlink"/>
    <w:basedOn w:val="DefaultParagraphFont"/>
    <w:uiPriority w:val="99"/>
    <w:unhideWhenUsed/>
    <w:rsid w:val="00945378"/>
    <w:rPr>
      <w:color w:val="0000FF" w:themeColor="hyperlink"/>
      <w:u w:val="single"/>
    </w:rPr>
  </w:style>
  <w:style w:type="character" w:styleId="FollowedHyperlink">
    <w:name w:val="FollowedHyperlink"/>
    <w:basedOn w:val="DefaultParagraphFont"/>
    <w:uiPriority w:val="99"/>
    <w:semiHidden/>
    <w:unhideWhenUsed/>
    <w:rsid w:val="00945378"/>
    <w:rPr>
      <w:color w:val="800080" w:themeColor="followedHyperlink"/>
      <w:u w:val="single"/>
    </w:rPr>
  </w:style>
  <w:style w:type="paragraph" w:styleId="Revision">
    <w:name w:val="Revision"/>
    <w:hidden/>
    <w:uiPriority w:val="99"/>
    <w:semiHidden/>
    <w:rsid w:val="00A960E0"/>
    <w:pPr>
      <w:spacing w:after="0" w:line="240" w:lineRule="auto"/>
    </w:pPr>
  </w:style>
  <w:style w:type="character" w:styleId="UnresolvedMention">
    <w:name w:val="Unresolved Mention"/>
    <w:basedOn w:val="DefaultParagraphFont"/>
    <w:uiPriority w:val="99"/>
    <w:semiHidden/>
    <w:unhideWhenUsed/>
    <w:rsid w:val="00FB4DD0"/>
    <w:rPr>
      <w:color w:val="605E5C"/>
      <w:shd w:val="clear" w:color="auto" w:fill="E1DFDD"/>
    </w:rPr>
  </w:style>
  <w:style w:type="paragraph" w:styleId="ListParagraph">
    <w:name w:val="List Paragraph"/>
    <w:basedOn w:val="Normal"/>
    <w:uiPriority w:val="34"/>
    <w:qFormat/>
    <w:rsid w:val="00FA33E8"/>
    <w:pPr>
      <w:numPr>
        <w:numId w:val="1"/>
      </w:numPr>
      <w:pBdr>
        <w:top w:val="nil"/>
        <w:left w:val="nil"/>
        <w:bottom w:val="nil"/>
        <w:right w:val="nil"/>
        <w:between w:val="nil"/>
      </w:pBdr>
      <w:spacing w:after="0"/>
      <w:ind w:left="1080"/>
    </w:pPr>
    <w:rPr>
      <w:color w:val="000000"/>
    </w:rPr>
  </w:style>
  <w:style w:type="paragraph" w:styleId="NoSpacing">
    <w:name w:val="No Spacing"/>
    <w:uiPriority w:val="1"/>
    <w:qFormat/>
    <w:rsid w:val="001B0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75465">
      <w:bodyDiv w:val="1"/>
      <w:marLeft w:val="0"/>
      <w:marRight w:val="0"/>
      <w:marTop w:val="0"/>
      <w:marBottom w:val="0"/>
      <w:divBdr>
        <w:top w:val="none" w:sz="0" w:space="0" w:color="auto"/>
        <w:left w:val="none" w:sz="0" w:space="0" w:color="auto"/>
        <w:bottom w:val="none" w:sz="0" w:space="0" w:color="auto"/>
        <w:right w:val="none" w:sz="0" w:space="0" w:color="auto"/>
      </w:divBdr>
    </w:div>
    <w:div w:id="717163457">
      <w:bodyDiv w:val="1"/>
      <w:marLeft w:val="0"/>
      <w:marRight w:val="0"/>
      <w:marTop w:val="0"/>
      <w:marBottom w:val="0"/>
      <w:divBdr>
        <w:top w:val="none" w:sz="0" w:space="0" w:color="auto"/>
        <w:left w:val="none" w:sz="0" w:space="0" w:color="auto"/>
        <w:bottom w:val="none" w:sz="0" w:space="0" w:color="auto"/>
        <w:right w:val="none" w:sz="0" w:space="0" w:color="auto"/>
      </w:divBdr>
      <w:divsChild>
        <w:div w:id="699671242">
          <w:marLeft w:val="0"/>
          <w:marRight w:val="0"/>
          <w:marTop w:val="0"/>
          <w:marBottom w:val="0"/>
          <w:divBdr>
            <w:top w:val="none" w:sz="0" w:space="0" w:color="auto"/>
            <w:left w:val="none" w:sz="0" w:space="0" w:color="auto"/>
            <w:bottom w:val="none" w:sz="0" w:space="0" w:color="auto"/>
            <w:right w:val="none" w:sz="0" w:space="0" w:color="auto"/>
          </w:divBdr>
        </w:div>
        <w:div w:id="66154972">
          <w:marLeft w:val="0"/>
          <w:marRight w:val="0"/>
          <w:marTop w:val="0"/>
          <w:marBottom w:val="0"/>
          <w:divBdr>
            <w:top w:val="none" w:sz="0" w:space="0" w:color="auto"/>
            <w:left w:val="none" w:sz="0" w:space="0" w:color="auto"/>
            <w:bottom w:val="none" w:sz="0" w:space="0" w:color="auto"/>
            <w:right w:val="none" w:sz="0" w:space="0" w:color="auto"/>
          </w:divBdr>
          <w:divsChild>
            <w:div w:id="60392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2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tk.edu/content.php?catoid=57&amp;navoid=12417" TargetMode="External"/><Relationship Id="rId13" Type="http://schemas.openxmlformats.org/officeDocument/2006/relationships/hyperlink" Target="https://hilltopics.utk.edu/" TargetMode="External"/><Relationship Id="rId18" Type="http://schemas.openxmlformats.org/officeDocument/2006/relationships/hyperlink" Target="https://gradschool.utk.edu/academics/graduate-catalo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vetmed.tennessee.edu/academics/current-students/handbook-and-policies/" TargetMode="External"/><Relationship Id="rId17" Type="http://schemas.openxmlformats.org/officeDocument/2006/relationships/hyperlink" Target="https://vetmed.tennessee.edu/wp-content/uploads/sites/4/Zoom-Professionalism-Guidelines.pdf"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sds@utk.edu" TargetMode="External"/><Relationship Id="rId20" Type="http://schemas.openxmlformats.org/officeDocument/2006/relationships/hyperlink" Target="http://www.lib.utk.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school.utk.edu/graduate-council/appeals-committee/the-university-of-tennessee-graduate-council-appeal-procedur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tudentlife.utk.edu/campus-culture/" TargetMode="External"/><Relationship Id="rId23" Type="http://schemas.openxmlformats.org/officeDocument/2006/relationships/footer" Target="footer1.xml"/><Relationship Id="rId10" Type="http://schemas.openxmlformats.org/officeDocument/2006/relationships/hyperlink" Target="https://vetmed.tennessee.edu/wp-content/uploads/sites/4/Exam-Policy-022520-FINAL.pdf" TargetMode="External"/><Relationship Id="rId19" Type="http://schemas.openxmlformats.org/officeDocument/2006/relationships/hyperlink" Target="https://hilltopics.utk.edu/" TargetMode="External"/><Relationship Id="rId4" Type="http://schemas.openxmlformats.org/officeDocument/2006/relationships/webSettings" Target="webSettings.xml"/><Relationship Id="rId9" Type="http://schemas.openxmlformats.org/officeDocument/2006/relationships/hyperlink" Target="https://vetmed.tennessee.edu/wp-content/uploads/sites/4/Zoom-Professionalism-Guidelines.pdf" TargetMode="External"/><Relationship Id="rId14" Type="http://schemas.openxmlformats.org/officeDocument/2006/relationships/hyperlink" Target="https://studentlife.utk.edu/studentconduct/code-of-conduct/"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5</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Misty Renee</dc:creator>
  <cp:lastModifiedBy>Bailey, Misty</cp:lastModifiedBy>
  <cp:revision>19</cp:revision>
  <dcterms:created xsi:type="dcterms:W3CDTF">2026-06-30T20:20:00Z</dcterms:created>
  <dcterms:modified xsi:type="dcterms:W3CDTF">2026-07-01T15:10:00Z</dcterms:modified>
</cp:coreProperties>
</file>